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9FC3D" w14:textId="77777777" w:rsidR="004B37A2" w:rsidRPr="002764B2" w:rsidRDefault="004B37A2" w:rsidP="00860132">
      <w:pPr>
        <w:spacing w:after="0"/>
        <w:rPr>
          <w:rFonts w:ascii="Arial" w:hAnsi="Arial" w:cs="Arial"/>
          <w:b/>
        </w:rPr>
      </w:pPr>
    </w:p>
    <w:p w14:paraId="404EB382" w14:textId="77777777" w:rsidR="004B37A2" w:rsidRPr="002764B2" w:rsidRDefault="004B37A2" w:rsidP="004B37A2">
      <w:pPr>
        <w:spacing w:after="0"/>
        <w:jc w:val="center"/>
        <w:rPr>
          <w:rFonts w:ascii="Arial" w:hAnsi="Arial" w:cs="Arial"/>
          <w:b/>
        </w:rPr>
      </w:pPr>
    </w:p>
    <w:p w14:paraId="26496C1A" w14:textId="77777777" w:rsidR="004B37A2" w:rsidRPr="002764B2" w:rsidRDefault="004B37A2" w:rsidP="004B37A2">
      <w:pPr>
        <w:spacing w:after="0"/>
        <w:jc w:val="center"/>
        <w:rPr>
          <w:rFonts w:ascii="Arial" w:hAnsi="Arial" w:cs="Arial"/>
          <w:b/>
        </w:rPr>
      </w:pPr>
      <w:r w:rsidRPr="002764B2">
        <w:rPr>
          <w:rFonts w:ascii="Arial" w:hAnsi="Arial" w:cs="Arial"/>
          <w:b/>
        </w:rPr>
        <w:t>TERMO DE REFERÊNCIA</w:t>
      </w:r>
    </w:p>
    <w:p w14:paraId="69C4EE2B" w14:textId="77777777" w:rsidR="004B37A2" w:rsidRPr="002764B2" w:rsidRDefault="004B37A2" w:rsidP="004B37A2">
      <w:pPr>
        <w:spacing w:after="0"/>
        <w:jc w:val="both"/>
        <w:rPr>
          <w:rFonts w:ascii="Arial" w:hAnsi="Arial" w:cs="Arial"/>
        </w:rPr>
      </w:pPr>
    </w:p>
    <w:p w14:paraId="42F1E7D3" w14:textId="77777777" w:rsidR="004B37A2" w:rsidRPr="002764B2" w:rsidRDefault="004B37A2" w:rsidP="001829FE">
      <w:pPr>
        <w:spacing w:after="0"/>
        <w:ind w:left="-142"/>
        <w:jc w:val="both"/>
        <w:rPr>
          <w:rFonts w:ascii="Arial" w:hAnsi="Arial" w:cs="Arial"/>
        </w:rPr>
      </w:pPr>
    </w:p>
    <w:p w14:paraId="47F37C9D" w14:textId="6FC97564" w:rsidR="008864D0" w:rsidRPr="002764B2" w:rsidRDefault="004B37A2" w:rsidP="00DF48B3">
      <w:pPr>
        <w:spacing w:after="0"/>
        <w:jc w:val="both"/>
        <w:rPr>
          <w:rFonts w:ascii="Arial" w:hAnsi="Arial" w:cs="Arial"/>
          <w:b/>
        </w:rPr>
      </w:pPr>
      <w:r w:rsidRPr="002764B2">
        <w:rPr>
          <w:rFonts w:ascii="Arial" w:hAnsi="Arial" w:cs="Arial"/>
          <w:b/>
        </w:rPr>
        <w:t>1.</w:t>
      </w:r>
      <w:r w:rsidRPr="002764B2">
        <w:rPr>
          <w:rFonts w:ascii="Arial" w:hAnsi="Arial" w:cs="Arial"/>
          <w:b/>
        </w:rPr>
        <w:tab/>
        <w:t>DO OBJETO</w:t>
      </w:r>
    </w:p>
    <w:p w14:paraId="6E0FAD97" w14:textId="4EC518DC" w:rsidR="007337B0" w:rsidRPr="00344075" w:rsidRDefault="00C449B3" w:rsidP="00E25CAD">
      <w:pPr>
        <w:ind w:right="-852"/>
        <w:jc w:val="both"/>
        <w:rPr>
          <w:rFonts w:ascii="Arial" w:hAnsi="Arial" w:cs="Arial"/>
          <w:b/>
          <w:bCs/>
        </w:rPr>
      </w:pPr>
      <w:r w:rsidRPr="002764B2">
        <w:rPr>
          <w:rFonts w:ascii="Arial" w:hAnsi="Arial" w:cs="Arial"/>
        </w:rPr>
        <w:t xml:space="preserve">1.1 </w:t>
      </w:r>
      <w:r w:rsidR="00344075" w:rsidRPr="00344075">
        <w:rPr>
          <w:rFonts w:ascii="Arial" w:hAnsi="Arial" w:cs="Arial"/>
          <w:b/>
          <w:bCs/>
        </w:rPr>
        <w:t>Aquisição de c</w:t>
      </w:r>
      <w:r w:rsidR="007337B0" w:rsidRPr="00344075">
        <w:rPr>
          <w:rFonts w:ascii="Arial" w:hAnsi="Arial" w:cs="Arial"/>
          <w:b/>
          <w:bCs/>
        </w:rPr>
        <w:t>âmara para conservação de vacinas, medicamentos e termolábeis com temperatura entre 2°C a 8°C, capacidade de 420</w:t>
      </w:r>
      <w:r w:rsidR="00E25CAD" w:rsidRPr="00344075">
        <w:rPr>
          <w:rFonts w:ascii="Arial" w:hAnsi="Arial" w:cs="Arial"/>
          <w:b/>
          <w:bCs/>
        </w:rPr>
        <w:t xml:space="preserve"> à 450</w:t>
      </w:r>
      <w:r w:rsidR="007337B0" w:rsidRPr="00344075">
        <w:rPr>
          <w:rFonts w:ascii="Arial" w:hAnsi="Arial" w:cs="Arial"/>
          <w:b/>
          <w:bCs/>
        </w:rPr>
        <w:t xml:space="preserve"> litros. </w:t>
      </w:r>
    </w:p>
    <w:tbl>
      <w:tblPr>
        <w:tblStyle w:val="Tabelacomgrade"/>
        <w:tblW w:w="9581" w:type="dxa"/>
        <w:tblInd w:w="-5" w:type="dxa"/>
        <w:tblLook w:val="04A0" w:firstRow="1" w:lastRow="0" w:firstColumn="1" w:lastColumn="0" w:noHBand="0" w:noVBand="1"/>
      </w:tblPr>
      <w:tblGrid>
        <w:gridCol w:w="755"/>
        <w:gridCol w:w="891"/>
        <w:gridCol w:w="793"/>
        <w:gridCol w:w="3652"/>
        <w:gridCol w:w="1722"/>
        <w:gridCol w:w="1768"/>
      </w:tblGrid>
      <w:tr w:rsidR="001829FE" w:rsidRPr="002764B2" w14:paraId="7ECAB8B9" w14:textId="77777777" w:rsidTr="00E25CAD">
        <w:trPr>
          <w:trHeight w:val="603"/>
        </w:trPr>
        <w:tc>
          <w:tcPr>
            <w:tcW w:w="755" w:type="dxa"/>
          </w:tcPr>
          <w:p w14:paraId="6A8368E6" w14:textId="72B1679D" w:rsidR="001829FE" w:rsidRPr="002764B2" w:rsidRDefault="001829FE" w:rsidP="00E25CAD">
            <w:pPr>
              <w:pStyle w:val="SemEspaamento"/>
              <w:jc w:val="center"/>
              <w:rPr>
                <w:rFonts w:ascii="Arial" w:hAnsi="Arial" w:cs="Arial"/>
                <w:b/>
                <w:bCs/>
              </w:rPr>
            </w:pPr>
            <w:r w:rsidRPr="002764B2">
              <w:rPr>
                <w:rFonts w:ascii="Arial" w:hAnsi="Arial" w:cs="Arial"/>
                <w:b/>
                <w:bCs/>
              </w:rPr>
              <w:t>Item</w:t>
            </w:r>
          </w:p>
        </w:tc>
        <w:tc>
          <w:tcPr>
            <w:tcW w:w="891" w:type="dxa"/>
          </w:tcPr>
          <w:p w14:paraId="5B705B29" w14:textId="1FD00C1E" w:rsidR="001829FE" w:rsidRPr="002764B2" w:rsidRDefault="001829FE" w:rsidP="00E25CAD">
            <w:pPr>
              <w:pStyle w:val="SemEspaamento"/>
              <w:jc w:val="center"/>
              <w:rPr>
                <w:rFonts w:ascii="Arial" w:hAnsi="Arial" w:cs="Arial"/>
                <w:b/>
                <w:bCs/>
              </w:rPr>
            </w:pPr>
            <w:r w:rsidRPr="002764B2">
              <w:rPr>
                <w:rFonts w:ascii="Arial" w:hAnsi="Arial" w:cs="Arial"/>
                <w:b/>
                <w:bCs/>
              </w:rPr>
              <w:t>Quant</w:t>
            </w:r>
          </w:p>
        </w:tc>
        <w:tc>
          <w:tcPr>
            <w:tcW w:w="793" w:type="dxa"/>
          </w:tcPr>
          <w:p w14:paraId="77686BC3" w14:textId="2FDFB04A" w:rsidR="001829FE" w:rsidRPr="002764B2" w:rsidRDefault="001829FE" w:rsidP="00E25CAD">
            <w:pPr>
              <w:pStyle w:val="SemEspaamento"/>
              <w:jc w:val="center"/>
              <w:rPr>
                <w:rFonts w:ascii="Arial" w:hAnsi="Arial" w:cs="Arial"/>
                <w:b/>
                <w:bCs/>
              </w:rPr>
            </w:pPr>
            <w:r w:rsidRPr="002764B2">
              <w:rPr>
                <w:rFonts w:ascii="Arial" w:hAnsi="Arial" w:cs="Arial"/>
                <w:b/>
                <w:bCs/>
              </w:rPr>
              <w:t>Unid.</w:t>
            </w:r>
          </w:p>
        </w:tc>
        <w:tc>
          <w:tcPr>
            <w:tcW w:w="3652" w:type="dxa"/>
          </w:tcPr>
          <w:p w14:paraId="3F667C6E" w14:textId="46BDB8D4" w:rsidR="001829FE" w:rsidRPr="002764B2" w:rsidRDefault="001829FE" w:rsidP="00E25CAD">
            <w:pPr>
              <w:pStyle w:val="SemEspaamento"/>
              <w:jc w:val="center"/>
              <w:rPr>
                <w:rFonts w:ascii="Arial" w:hAnsi="Arial" w:cs="Arial"/>
                <w:b/>
                <w:bCs/>
              </w:rPr>
            </w:pPr>
            <w:r w:rsidRPr="002764B2">
              <w:rPr>
                <w:rFonts w:ascii="Arial" w:hAnsi="Arial" w:cs="Arial"/>
                <w:b/>
                <w:bCs/>
              </w:rPr>
              <w:t>Descrição</w:t>
            </w:r>
          </w:p>
        </w:tc>
        <w:tc>
          <w:tcPr>
            <w:tcW w:w="1722" w:type="dxa"/>
          </w:tcPr>
          <w:p w14:paraId="2859AEF0" w14:textId="77777777" w:rsidR="00E25CAD" w:rsidRPr="002764B2" w:rsidRDefault="001829FE" w:rsidP="00E25CAD">
            <w:pPr>
              <w:pStyle w:val="SemEspaamento"/>
              <w:jc w:val="center"/>
              <w:rPr>
                <w:rFonts w:ascii="Arial" w:hAnsi="Arial" w:cs="Arial"/>
                <w:b/>
                <w:bCs/>
              </w:rPr>
            </w:pPr>
            <w:r w:rsidRPr="002764B2">
              <w:rPr>
                <w:rFonts w:ascii="Arial" w:hAnsi="Arial" w:cs="Arial"/>
                <w:b/>
                <w:bCs/>
              </w:rPr>
              <w:t>Valor unitário</w:t>
            </w:r>
          </w:p>
          <w:p w14:paraId="15B0CE0F" w14:textId="3F0674AE" w:rsidR="001829FE" w:rsidRPr="002764B2" w:rsidRDefault="001829FE" w:rsidP="00E25CAD">
            <w:pPr>
              <w:pStyle w:val="SemEspaamento"/>
              <w:jc w:val="center"/>
              <w:rPr>
                <w:rFonts w:ascii="Arial" w:hAnsi="Arial" w:cs="Arial"/>
                <w:b/>
                <w:bCs/>
              </w:rPr>
            </w:pPr>
            <w:r w:rsidRPr="002764B2">
              <w:rPr>
                <w:rFonts w:ascii="Arial" w:hAnsi="Arial" w:cs="Arial"/>
                <w:b/>
                <w:bCs/>
              </w:rPr>
              <w:t>(R$)</w:t>
            </w:r>
          </w:p>
        </w:tc>
        <w:tc>
          <w:tcPr>
            <w:tcW w:w="1768" w:type="dxa"/>
          </w:tcPr>
          <w:p w14:paraId="08916A88" w14:textId="77777777" w:rsidR="00E25CAD" w:rsidRPr="002764B2" w:rsidRDefault="001829FE" w:rsidP="00E25CAD">
            <w:pPr>
              <w:pStyle w:val="SemEspaamento"/>
              <w:jc w:val="center"/>
              <w:rPr>
                <w:rFonts w:ascii="Arial" w:hAnsi="Arial" w:cs="Arial"/>
                <w:b/>
                <w:bCs/>
              </w:rPr>
            </w:pPr>
            <w:r w:rsidRPr="002764B2">
              <w:rPr>
                <w:rFonts w:ascii="Arial" w:hAnsi="Arial" w:cs="Arial"/>
                <w:b/>
                <w:bCs/>
              </w:rPr>
              <w:t>Valor</w:t>
            </w:r>
          </w:p>
          <w:p w14:paraId="0B5CA4FC" w14:textId="75B716BE" w:rsidR="00E25CAD" w:rsidRPr="002764B2" w:rsidRDefault="00E25CAD" w:rsidP="00E25CAD">
            <w:pPr>
              <w:pStyle w:val="SemEspaamento"/>
              <w:jc w:val="center"/>
              <w:rPr>
                <w:rFonts w:ascii="Arial" w:hAnsi="Arial" w:cs="Arial"/>
                <w:b/>
                <w:bCs/>
              </w:rPr>
            </w:pPr>
            <w:r w:rsidRPr="002764B2">
              <w:rPr>
                <w:rFonts w:ascii="Arial" w:hAnsi="Arial" w:cs="Arial"/>
                <w:b/>
                <w:bCs/>
              </w:rPr>
              <w:t>T</w:t>
            </w:r>
            <w:r w:rsidR="001829FE" w:rsidRPr="002764B2">
              <w:rPr>
                <w:rFonts w:ascii="Arial" w:hAnsi="Arial" w:cs="Arial"/>
                <w:b/>
                <w:bCs/>
              </w:rPr>
              <w:t>otal</w:t>
            </w:r>
          </w:p>
          <w:p w14:paraId="64F3FA00" w14:textId="0BF06792" w:rsidR="001829FE" w:rsidRPr="002764B2" w:rsidRDefault="001829FE" w:rsidP="00E25CAD">
            <w:pPr>
              <w:pStyle w:val="SemEspaamento"/>
              <w:jc w:val="center"/>
              <w:rPr>
                <w:rFonts w:ascii="Arial" w:hAnsi="Arial" w:cs="Arial"/>
                <w:b/>
                <w:bCs/>
              </w:rPr>
            </w:pPr>
            <w:r w:rsidRPr="002764B2">
              <w:rPr>
                <w:rFonts w:ascii="Arial" w:hAnsi="Arial" w:cs="Arial"/>
                <w:b/>
                <w:bCs/>
              </w:rPr>
              <w:t>(R$)</w:t>
            </w:r>
          </w:p>
        </w:tc>
      </w:tr>
      <w:tr w:rsidR="002D5C57" w:rsidRPr="002D5C57" w14:paraId="47D1242D" w14:textId="77777777" w:rsidTr="00E25CAD">
        <w:tc>
          <w:tcPr>
            <w:tcW w:w="755" w:type="dxa"/>
          </w:tcPr>
          <w:p w14:paraId="421D9289" w14:textId="77777777" w:rsidR="001829FE" w:rsidRPr="002764B2" w:rsidRDefault="001829FE" w:rsidP="00E25CAD">
            <w:pPr>
              <w:jc w:val="center"/>
              <w:rPr>
                <w:rFonts w:ascii="Arial" w:hAnsi="Arial" w:cs="Arial"/>
              </w:rPr>
            </w:pPr>
            <w:r w:rsidRPr="002764B2">
              <w:rPr>
                <w:rFonts w:ascii="Arial" w:hAnsi="Arial" w:cs="Arial"/>
              </w:rPr>
              <w:t>01</w:t>
            </w:r>
          </w:p>
        </w:tc>
        <w:tc>
          <w:tcPr>
            <w:tcW w:w="891" w:type="dxa"/>
          </w:tcPr>
          <w:p w14:paraId="67716839" w14:textId="084324CA" w:rsidR="001829FE" w:rsidRPr="002764B2" w:rsidRDefault="001829FE" w:rsidP="00E25CAD">
            <w:pPr>
              <w:jc w:val="center"/>
              <w:rPr>
                <w:rFonts w:ascii="Arial" w:hAnsi="Arial" w:cs="Arial"/>
              </w:rPr>
            </w:pPr>
            <w:r w:rsidRPr="002764B2">
              <w:rPr>
                <w:rFonts w:ascii="Arial" w:hAnsi="Arial" w:cs="Arial"/>
              </w:rPr>
              <w:t>01</w:t>
            </w:r>
          </w:p>
        </w:tc>
        <w:tc>
          <w:tcPr>
            <w:tcW w:w="793" w:type="dxa"/>
          </w:tcPr>
          <w:p w14:paraId="6A495627" w14:textId="69BD9A1D" w:rsidR="001829FE" w:rsidRPr="002764B2" w:rsidRDefault="001829FE" w:rsidP="00E25CAD">
            <w:pPr>
              <w:jc w:val="center"/>
              <w:rPr>
                <w:rFonts w:ascii="Arial" w:hAnsi="Arial" w:cs="Arial"/>
              </w:rPr>
            </w:pPr>
            <w:r w:rsidRPr="002764B2">
              <w:rPr>
                <w:rFonts w:ascii="Arial" w:hAnsi="Arial" w:cs="Arial"/>
              </w:rPr>
              <w:t>uni</w:t>
            </w:r>
          </w:p>
        </w:tc>
        <w:tc>
          <w:tcPr>
            <w:tcW w:w="3652" w:type="dxa"/>
          </w:tcPr>
          <w:p w14:paraId="13E3316B" w14:textId="32EDFF3D" w:rsidR="001829FE" w:rsidRPr="002764B2" w:rsidRDefault="00E25CAD" w:rsidP="004041B5">
            <w:pPr>
              <w:jc w:val="both"/>
              <w:rPr>
                <w:rFonts w:ascii="Arial" w:hAnsi="Arial" w:cs="Arial"/>
              </w:rPr>
            </w:pPr>
            <w:r w:rsidRPr="002764B2">
              <w:rPr>
                <w:rFonts w:ascii="Arial" w:hAnsi="Arial" w:cs="Arial"/>
              </w:rPr>
              <w:t xml:space="preserve">Câmara para conservação de vacinas, medicamentos e termolábeis com temperatura entre 2°C a 8°C, capacidade de 420 à 450 litros. Gabinete externo: Tipo vertical construído em chapas de aço tratado quimicamente com pintura epóxi a alta temperatura. Montado sobre chassi metálico sobre rodízios giratórios traváveis. Gabinete Interno: Em chapas de aço inox. Equipados com no mínimo 04 prateleiras em aço inox. Iluminação Interna: Iluminação interna em LED de alta capacidade e vida útil, com acionamento temporizado na abertura da porta ou externamente no painel frontal com a porta fechada. Isolamento Térmico: Isolamento térmico em poliuretano injetado de alta pressão, livre de CFC. Homogeneização de Temperatura: Sistema de circulação interna por ar forçado através de ventiladores. O sistema possui controle de desligamento automático da ventilação em caso de abertura de porta. Porta: Vertical em vidro duplo (no fog) com vedação em perfil magnético com alarme temporizado quando a abertura de porta. Refrigeração: Através de </w:t>
            </w:r>
            <w:r w:rsidRPr="002764B2">
              <w:rPr>
                <w:rFonts w:ascii="Arial" w:hAnsi="Arial" w:cs="Arial"/>
              </w:rPr>
              <w:lastRenderedPageBreak/>
              <w:t xml:space="preserve">compressor hermético, com circulação de gás ecológico, isento de CFC. Sistema de degelo automático seco com evaporação do condensado. Painel de comando: Montado na parte superior da </w:t>
            </w:r>
            <w:proofErr w:type="gramStart"/>
            <w:r w:rsidRPr="002764B2">
              <w:rPr>
                <w:rFonts w:ascii="Arial" w:hAnsi="Arial" w:cs="Arial"/>
              </w:rPr>
              <w:t>câmara</w:t>
            </w:r>
            <w:proofErr w:type="gramEnd"/>
            <w:r w:rsidRPr="002764B2">
              <w:rPr>
                <w:rFonts w:ascii="Arial" w:hAnsi="Arial" w:cs="Arial"/>
              </w:rPr>
              <w:t xml:space="preserve"> com chave geral, fusíveis de proteção na parte posterior e painel frontal do tipo membrana com teclas soft-</w:t>
            </w:r>
            <w:proofErr w:type="spellStart"/>
            <w:r w:rsidRPr="002764B2">
              <w:rPr>
                <w:rFonts w:ascii="Arial" w:hAnsi="Arial" w:cs="Arial"/>
              </w:rPr>
              <w:t>touch</w:t>
            </w:r>
            <w:proofErr w:type="spellEnd"/>
            <w:r w:rsidRPr="002764B2">
              <w:rPr>
                <w:rFonts w:ascii="Arial" w:hAnsi="Arial" w:cs="Arial"/>
              </w:rPr>
              <w:t xml:space="preserve">. Display em LCD com apresentação simultânea das temperaturas de momento, temperaturas mínima e máximas atingidas, ajuste dos parâmetros, sistema de verificação automática da programação, sistema de travamento da programação contra manuseio inadvertido, sistema que restabelece os parâmetros programados mesmo com variação brusca da energia ou desligamento do equipamento, sistema de auto teste do sistema de emergência para falta de energia e discadora com programação antecipada de data e hora para realização dos testes, filtro contra ruídos eletromagnéticos, com apresentação de data e horário. Dotado de sensores tipo PT-100. Alarmes: Temperatura visual e sonoro abaixo de 2°C, temperatura alta acima de 8°C (ou programável pelo usuário), falta de energia elétrica, porta aberta, com tecla de inibição para silenciar o </w:t>
            </w:r>
            <w:proofErr w:type="spellStart"/>
            <w:r w:rsidRPr="002764B2">
              <w:rPr>
                <w:rFonts w:ascii="Arial" w:hAnsi="Arial" w:cs="Arial"/>
              </w:rPr>
              <w:t>buzzer</w:t>
            </w:r>
            <w:proofErr w:type="spellEnd"/>
            <w:r w:rsidRPr="002764B2">
              <w:rPr>
                <w:rFonts w:ascii="Arial" w:hAnsi="Arial" w:cs="Arial"/>
              </w:rPr>
              <w:t xml:space="preserve"> por 15 minutos (ou programável conforme solicitação pelo usuário). Faixa de Trabalho: Entre 2°C e 8°C, com p ponto fixo em 4°C por solução diatérmica, ou programável pelo usuário. Registrador de Temperatura: </w:t>
            </w:r>
            <w:r w:rsidRPr="002764B2">
              <w:rPr>
                <w:rFonts w:ascii="Arial" w:hAnsi="Arial" w:cs="Arial"/>
              </w:rPr>
              <w:lastRenderedPageBreak/>
              <w:t>Registrador eletrônico das temperaturas mínima e máximas atingidas, apresentadas no display de processos. Entrada USB/PENDRIVE para extração de relatórios de performance. Discador: Sistema automático que realiza ligações telefônicas via central telefônica ou linha fixa direta, para até 06 (seis) números (celulares ou fixos) sempre que o equipamento alarmar por temperatura crítica, falta de energia ou tensão baixa do sistema de emergência (ou programável pelo usuário). Sistema de emergência para falta de energia elétrica: Através de conversor 12 volts (</w:t>
            </w:r>
            <w:proofErr w:type="spellStart"/>
            <w:r w:rsidRPr="002764B2">
              <w:rPr>
                <w:rFonts w:ascii="Arial" w:hAnsi="Arial" w:cs="Arial"/>
              </w:rPr>
              <w:t>cc</w:t>
            </w:r>
            <w:proofErr w:type="spellEnd"/>
            <w:r w:rsidRPr="002764B2">
              <w:rPr>
                <w:rFonts w:ascii="Arial" w:hAnsi="Arial" w:cs="Arial"/>
              </w:rPr>
              <w:t>) para 110/220 volts (ac), mantendo todas as funções eletroeletrônicas, inclusive o compressor de frio, com autonomia de 24 horas. Integrado ao gabinete, montado na parte inferior da câmara, com suporte para a bateria estacionária</w:t>
            </w:r>
            <w:r w:rsidR="0074098E">
              <w:rPr>
                <w:rFonts w:ascii="Arial" w:hAnsi="Arial" w:cs="Arial"/>
              </w:rPr>
              <w:t xml:space="preserve">. </w:t>
            </w:r>
            <w:r w:rsidR="00344075" w:rsidRPr="002D5C57">
              <w:rPr>
                <w:rFonts w:ascii="Arial" w:hAnsi="Arial" w:cs="Arial"/>
              </w:rPr>
              <w:t>Possuir garantia de 12(doze) meses</w:t>
            </w:r>
            <w:r w:rsidRPr="002D5C57">
              <w:rPr>
                <w:rFonts w:ascii="Arial" w:hAnsi="Arial" w:cs="Arial"/>
              </w:rPr>
              <w:t>.</w:t>
            </w:r>
            <w:r w:rsidRPr="002764B2">
              <w:rPr>
                <w:rFonts w:ascii="Arial" w:hAnsi="Arial" w:cs="Arial"/>
              </w:rPr>
              <w:t xml:space="preserve"> </w:t>
            </w:r>
            <w:r w:rsidRPr="002764B2">
              <w:rPr>
                <w:rFonts w:ascii="Arial" w:hAnsi="Arial" w:cs="Arial"/>
                <w:b/>
                <w:bCs/>
              </w:rPr>
              <w:t>O equipamento deve possuir Registro na Anvisa.</w:t>
            </w:r>
          </w:p>
        </w:tc>
        <w:tc>
          <w:tcPr>
            <w:tcW w:w="1722" w:type="dxa"/>
          </w:tcPr>
          <w:p w14:paraId="1322498D" w14:textId="683FEB6B" w:rsidR="001829FE" w:rsidRPr="002D5C57" w:rsidRDefault="001829FE" w:rsidP="00E25CAD">
            <w:pPr>
              <w:jc w:val="center"/>
              <w:rPr>
                <w:rFonts w:ascii="Arial" w:hAnsi="Arial" w:cs="Arial"/>
              </w:rPr>
            </w:pPr>
            <w:r w:rsidRPr="002D5C57">
              <w:rPr>
                <w:rFonts w:ascii="Arial" w:hAnsi="Arial" w:cs="Arial"/>
              </w:rPr>
              <w:lastRenderedPageBreak/>
              <w:t>1</w:t>
            </w:r>
            <w:r w:rsidR="00E25CAD" w:rsidRPr="002D5C57">
              <w:rPr>
                <w:rFonts w:ascii="Arial" w:hAnsi="Arial" w:cs="Arial"/>
              </w:rPr>
              <w:t>8</w:t>
            </w:r>
            <w:r w:rsidRPr="002D5C57">
              <w:rPr>
                <w:rFonts w:ascii="Arial" w:hAnsi="Arial" w:cs="Arial"/>
              </w:rPr>
              <w:t>.600,00</w:t>
            </w:r>
          </w:p>
        </w:tc>
        <w:tc>
          <w:tcPr>
            <w:tcW w:w="1768" w:type="dxa"/>
          </w:tcPr>
          <w:p w14:paraId="256C53A2" w14:textId="20D792A6" w:rsidR="001829FE" w:rsidRPr="002D5C57" w:rsidRDefault="001829FE" w:rsidP="00E25CAD">
            <w:pPr>
              <w:jc w:val="center"/>
              <w:rPr>
                <w:rFonts w:ascii="Arial" w:hAnsi="Arial" w:cs="Arial"/>
              </w:rPr>
            </w:pPr>
            <w:r w:rsidRPr="002D5C57">
              <w:rPr>
                <w:rFonts w:ascii="Arial" w:hAnsi="Arial" w:cs="Arial"/>
              </w:rPr>
              <w:t>1</w:t>
            </w:r>
            <w:r w:rsidR="00E25CAD" w:rsidRPr="002D5C57">
              <w:rPr>
                <w:rFonts w:ascii="Arial" w:hAnsi="Arial" w:cs="Arial"/>
              </w:rPr>
              <w:t>8</w:t>
            </w:r>
            <w:r w:rsidRPr="002D5C57">
              <w:rPr>
                <w:rFonts w:ascii="Arial" w:hAnsi="Arial" w:cs="Arial"/>
              </w:rPr>
              <w:t>.600,00</w:t>
            </w:r>
          </w:p>
        </w:tc>
      </w:tr>
    </w:tbl>
    <w:p w14:paraId="5AB68C76" w14:textId="77777777" w:rsidR="007337B0" w:rsidRPr="002764B2" w:rsidRDefault="007337B0" w:rsidP="007337B0">
      <w:pPr>
        <w:pStyle w:val="Corpodetexto"/>
        <w:spacing w:before="5"/>
        <w:rPr>
          <w:rFonts w:ascii="Arial" w:hAnsi="Arial" w:cs="Arial"/>
        </w:rPr>
      </w:pPr>
    </w:p>
    <w:p w14:paraId="4FC62031" w14:textId="77777777" w:rsidR="00DF48B3" w:rsidRPr="002764B2" w:rsidRDefault="00DF48B3" w:rsidP="004B37A2">
      <w:pPr>
        <w:spacing w:after="0" w:line="240" w:lineRule="auto"/>
        <w:jc w:val="both"/>
        <w:rPr>
          <w:rFonts w:ascii="Arial" w:eastAsia="Times New Roman" w:hAnsi="Arial" w:cs="Arial"/>
          <w:b/>
          <w:bCs/>
          <w:lang w:eastAsia="pt-BR"/>
        </w:rPr>
      </w:pPr>
    </w:p>
    <w:p w14:paraId="17D3C947" w14:textId="3A3CF66A" w:rsidR="004B37A2" w:rsidRPr="002764B2" w:rsidRDefault="004B37A2" w:rsidP="004B37A2">
      <w:pPr>
        <w:spacing w:after="0" w:line="240" w:lineRule="auto"/>
        <w:jc w:val="both"/>
        <w:rPr>
          <w:rFonts w:ascii="Arial" w:eastAsia="Times New Roman" w:hAnsi="Arial" w:cs="Arial"/>
          <w:b/>
          <w:bCs/>
          <w:lang w:eastAsia="pt-BR"/>
        </w:rPr>
      </w:pPr>
      <w:r w:rsidRPr="002764B2">
        <w:rPr>
          <w:rFonts w:ascii="Arial" w:eastAsia="Times New Roman" w:hAnsi="Arial" w:cs="Arial"/>
          <w:b/>
          <w:bCs/>
          <w:lang w:eastAsia="pt-BR"/>
        </w:rPr>
        <w:t>2. JUSTIFICATIVA DA CONTRATAÇÃO</w:t>
      </w:r>
    </w:p>
    <w:p w14:paraId="0D073EF6" w14:textId="77777777" w:rsidR="00C449B3" w:rsidRPr="002764B2" w:rsidRDefault="00C449B3" w:rsidP="00E25CAD">
      <w:pPr>
        <w:pStyle w:val="Corpodetexto"/>
        <w:spacing w:line="276" w:lineRule="auto"/>
        <w:ind w:left="101" w:right="-993"/>
        <w:jc w:val="both"/>
        <w:rPr>
          <w:rFonts w:ascii="Arial" w:hAnsi="Arial" w:cs="Arial"/>
        </w:rPr>
      </w:pPr>
      <w:r w:rsidRPr="002764B2">
        <w:rPr>
          <w:rFonts w:ascii="Arial" w:hAnsi="Arial" w:cs="Arial"/>
        </w:rPr>
        <w:t xml:space="preserve">2.1 </w:t>
      </w:r>
      <w:r w:rsidR="007337B0" w:rsidRPr="002764B2">
        <w:rPr>
          <w:rFonts w:ascii="Arial" w:hAnsi="Arial" w:cs="Arial"/>
        </w:rPr>
        <w:t xml:space="preserve">A presente aquisição justifica-se com o fim de atender especificações técnias e sanitarias no que diz respeito à guarda e acondicionamento e adequada conservação de vacinas, medicamentos e termolabeis. </w:t>
      </w:r>
    </w:p>
    <w:p w14:paraId="161C40F4" w14:textId="66D1A5BA" w:rsidR="007337B0" w:rsidRPr="002764B2" w:rsidRDefault="00C449B3" w:rsidP="00E25CAD">
      <w:pPr>
        <w:pStyle w:val="Corpodetexto"/>
        <w:spacing w:line="276" w:lineRule="auto"/>
        <w:ind w:left="101" w:right="-993"/>
        <w:jc w:val="both"/>
        <w:rPr>
          <w:rFonts w:ascii="Arial" w:hAnsi="Arial" w:cs="Arial"/>
        </w:rPr>
      </w:pPr>
      <w:r w:rsidRPr="002764B2">
        <w:rPr>
          <w:rFonts w:ascii="Arial" w:hAnsi="Arial" w:cs="Arial"/>
        </w:rPr>
        <w:t xml:space="preserve">2.2 </w:t>
      </w:r>
      <w:r w:rsidR="007337B0" w:rsidRPr="002764B2">
        <w:rPr>
          <w:rFonts w:ascii="Arial" w:hAnsi="Arial" w:cs="Arial"/>
        </w:rPr>
        <w:t xml:space="preserve">Devido a Câmara atual estar danificada necessitase realizar a compra de forma EMERGENCIAL a fim de evitar perdas por mau armazenamento e conservação, como ocorre em períodos de queda de energia. Assim se faz indispensável o processo licitatório na modalidade: dispensa, por motivo de emergência. </w:t>
      </w:r>
    </w:p>
    <w:p w14:paraId="0E5251AA" w14:textId="77777777" w:rsidR="007337B0" w:rsidRPr="002764B2" w:rsidRDefault="007337B0" w:rsidP="004B37A2">
      <w:pPr>
        <w:spacing w:after="0" w:line="240" w:lineRule="auto"/>
        <w:jc w:val="both"/>
        <w:rPr>
          <w:rFonts w:ascii="Arial" w:eastAsia="Times New Roman" w:hAnsi="Arial" w:cs="Arial"/>
          <w:b/>
          <w:bCs/>
          <w:lang w:eastAsia="pt-BR"/>
        </w:rPr>
      </w:pPr>
    </w:p>
    <w:p w14:paraId="157EBC4F" w14:textId="5881019B" w:rsidR="007337B0" w:rsidRPr="002764B2" w:rsidRDefault="004B37A2" w:rsidP="004B37A2">
      <w:pPr>
        <w:spacing w:after="0"/>
        <w:jc w:val="both"/>
        <w:rPr>
          <w:rFonts w:ascii="Arial" w:hAnsi="Arial" w:cs="Arial"/>
          <w:b/>
        </w:rPr>
      </w:pPr>
      <w:r w:rsidRPr="002764B2">
        <w:rPr>
          <w:rFonts w:ascii="Arial" w:hAnsi="Arial" w:cs="Arial"/>
          <w:b/>
        </w:rPr>
        <w:t>3.</w:t>
      </w:r>
      <w:r w:rsidR="005D32F2" w:rsidRPr="002764B2">
        <w:rPr>
          <w:rFonts w:ascii="Arial" w:hAnsi="Arial" w:cs="Arial"/>
          <w:b/>
        </w:rPr>
        <w:t xml:space="preserve"> </w:t>
      </w:r>
      <w:r w:rsidR="00B519E6" w:rsidRPr="002764B2">
        <w:rPr>
          <w:rFonts w:ascii="Arial" w:hAnsi="Arial" w:cs="Arial"/>
          <w:b/>
        </w:rPr>
        <w:t xml:space="preserve">ESPECIFICAÇÕES DO </w:t>
      </w:r>
      <w:r w:rsidR="007337B0" w:rsidRPr="002764B2">
        <w:rPr>
          <w:rFonts w:ascii="Arial" w:hAnsi="Arial" w:cs="Arial"/>
          <w:b/>
        </w:rPr>
        <w:t>PRODUTO</w:t>
      </w:r>
    </w:p>
    <w:p w14:paraId="4ED2767B" w14:textId="2E4DC3C0" w:rsidR="007337B0" w:rsidRPr="002D5C57" w:rsidRDefault="00C449B3" w:rsidP="00E25CAD">
      <w:pPr>
        <w:ind w:right="-993"/>
        <w:jc w:val="both"/>
        <w:rPr>
          <w:rFonts w:ascii="Arial" w:hAnsi="Arial" w:cs="Arial"/>
        </w:rPr>
      </w:pPr>
      <w:r w:rsidRPr="002764B2">
        <w:rPr>
          <w:rFonts w:ascii="Arial" w:hAnsi="Arial" w:cs="Arial"/>
        </w:rPr>
        <w:t xml:space="preserve">3.1 </w:t>
      </w:r>
      <w:r w:rsidR="00E25CAD" w:rsidRPr="002764B2">
        <w:rPr>
          <w:rFonts w:ascii="Arial" w:hAnsi="Arial" w:cs="Arial"/>
        </w:rPr>
        <w:t xml:space="preserve">Câmara para conservação de vacinas, medicamentos e termolábeis com temperatura entre 2°C a 8°C, capacidade de 420 à 450 litros. Gabinete externo: Tipo vertical construído em chapas de aço tratado quimicamente com pintura epóxi a alta temperatura. Montado sobre chassi metálico sobre rodízios giratórios traváveis. Gabinete Interno: Em chapas de aço inox. Equipados com no </w:t>
      </w:r>
      <w:r w:rsidR="00E25CAD" w:rsidRPr="002764B2">
        <w:rPr>
          <w:rFonts w:ascii="Arial" w:hAnsi="Arial" w:cs="Arial"/>
        </w:rPr>
        <w:lastRenderedPageBreak/>
        <w:t xml:space="preserve">mínimo 04 prateleiras em aço inox. Iluminação Interna: Iluminação interna em LED de alta capacidade e vida útil, com acionamento temporizado na abertura da porta ou externamente no painel frontal com a porta fechada. Isolamento Térmico: Isolamento térmico em poliuretano injetado de alta pressão, livre de CFC. Homogeneização de Temperatura: Sistema de circulação interna por ar forçado através de ventiladores. O sistema possui controle de desligamento automático da ventilação em caso de abertura de porta. Porta: Vertical em vidro duplo (no fog) com vedação em perfil magnético com alarme temporizado quando a abertura de porta. Refrigeração: Através de compressor hermético, com circulação de gás ecológico, isento de CFC. Sistema de degelo automático seco com evaporação do condensado. Painel de comando: Montado na parte superior da </w:t>
      </w:r>
      <w:proofErr w:type="gramStart"/>
      <w:r w:rsidR="00E25CAD" w:rsidRPr="002764B2">
        <w:rPr>
          <w:rFonts w:ascii="Arial" w:hAnsi="Arial" w:cs="Arial"/>
        </w:rPr>
        <w:t>câmara</w:t>
      </w:r>
      <w:proofErr w:type="gramEnd"/>
      <w:r w:rsidR="00E25CAD" w:rsidRPr="002764B2">
        <w:rPr>
          <w:rFonts w:ascii="Arial" w:hAnsi="Arial" w:cs="Arial"/>
        </w:rPr>
        <w:t xml:space="preserve"> com chave geral, fusíveis de proteção na parte posterior e painel frontal do tipo membrana com teclas soft-</w:t>
      </w:r>
      <w:proofErr w:type="spellStart"/>
      <w:r w:rsidR="00E25CAD" w:rsidRPr="002764B2">
        <w:rPr>
          <w:rFonts w:ascii="Arial" w:hAnsi="Arial" w:cs="Arial"/>
        </w:rPr>
        <w:t>touch</w:t>
      </w:r>
      <w:proofErr w:type="spellEnd"/>
      <w:r w:rsidR="00E25CAD" w:rsidRPr="002764B2">
        <w:rPr>
          <w:rFonts w:ascii="Arial" w:hAnsi="Arial" w:cs="Arial"/>
        </w:rPr>
        <w:t xml:space="preserve">. Display em LCD com apresentação simultânea das temperaturas de momento, temperaturas mínima e máximas atingidas, ajuste dos parâmetros, sistema de verificação automática da programação, sistema de travamento da programação contra manuseio inadvertido, sistema que restabelece os parâmetros programados mesmo com variação brusca da energia ou desligamento do equipamento, sistema de auto teste do sistema de emergência para falta de energia e discadora com programação antecipada de data e hora para realização dos testes, filtro contra ruídos eletromagnéticos, com apresentação de data e horário. Dotado de sensores tipo PT-100. Alarmes: Temperatura visual e sonoro abaixo de 2°C, temperatura alta acima de 8°C (ou programável pelo usuário), falta de energia elétrica, porta aberta, com tecla de inibição para silenciar o </w:t>
      </w:r>
      <w:proofErr w:type="spellStart"/>
      <w:r w:rsidR="00E25CAD" w:rsidRPr="002764B2">
        <w:rPr>
          <w:rFonts w:ascii="Arial" w:hAnsi="Arial" w:cs="Arial"/>
        </w:rPr>
        <w:t>buzzer</w:t>
      </w:r>
      <w:proofErr w:type="spellEnd"/>
      <w:r w:rsidR="00E25CAD" w:rsidRPr="002764B2">
        <w:rPr>
          <w:rFonts w:ascii="Arial" w:hAnsi="Arial" w:cs="Arial"/>
        </w:rPr>
        <w:t xml:space="preserve"> por 15 minutos (ou programável conforme solicitação pelo usuário). Faixa de Trabalho: Entre 2°C e 8°C, com p ponto fixo em 4°C por solução diatérmica, ou programável pelo usuário. Registrador de Temperatura: Registrador eletrônico das temperaturas mínima e máximas atingidas, apresentadas no display de processos. Entrada USB/PENDRIVE para extração de relatórios de performance. Discador: Sistema automático que realiza ligações telefônicas via central telefônica ou linha fixa direta, para até 06 (seis) números (celulares ou fixos) sempre que o equipamento alarmar por temperatura crítica, falta de energia ou tensão baixa do sistema de emergência (ou programável pelo usuário). Sistema de emergência para falta de energia elétrica: Através de conversor 12 volts (</w:t>
      </w:r>
      <w:proofErr w:type="spellStart"/>
      <w:r w:rsidR="00E25CAD" w:rsidRPr="002764B2">
        <w:rPr>
          <w:rFonts w:ascii="Arial" w:hAnsi="Arial" w:cs="Arial"/>
        </w:rPr>
        <w:t>cc</w:t>
      </w:r>
      <w:proofErr w:type="spellEnd"/>
      <w:r w:rsidR="00E25CAD" w:rsidRPr="002764B2">
        <w:rPr>
          <w:rFonts w:ascii="Arial" w:hAnsi="Arial" w:cs="Arial"/>
        </w:rPr>
        <w:t>) para 110/220 volts (ac), mantendo todas as funções eletroeletrônicas, inclusive o compressor de frio, com autonomia de 24 horas. Integrado ao gabinete, montado na parte inferior da câmara, com suporte para a bateria estacionária.</w:t>
      </w:r>
      <w:r w:rsidR="0074098E">
        <w:rPr>
          <w:rFonts w:ascii="Arial" w:hAnsi="Arial" w:cs="Arial"/>
        </w:rPr>
        <w:t xml:space="preserve"> Possuir garantia de 12(doze) meses.</w:t>
      </w:r>
      <w:r w:rsidR="00E25CAD" w:rsidRPr="002764B2">
        <w:rPr>
          <w:rFonts w:ascii="Arial" w:hAnsi="Arial" w:cs="Arial"/>
        </w:rPr>
        <w:t xml:space="preserve"> </w:t>
      </w:r>
      <w:r w:rsidR="00E25CAD" w:rsidRPr="002764B2">
        <w:rPr>
          <w:rFonts w:ascii="Arial" w:hAnsi="Arial" w:cs="Arial"/>
          <w:b/>
          <w:bCs/>
        </w:rPr>
        <w:t xml:space="preserve">O equipamento deve possuir Registro na </w:t>
      </w:r>
      <w:r w:rsidR="00E25CAD" w:rsidRPr="002D5C57">
        <w:rPr>
          <w:rFonts w:ascii="Arial" w:hAnsi="Arial" w:cs="Arial"/>
          <w:b/>
          <w:bCs/>
        </w:rPr>
        <w:t>Anvisa.</w:t>
      </w:r>
    </w:p>
    <w:p w14:paraId="7CFD7DDE" w14:textId="65F10418" w:rsidR="007337B0" w:rsidRPr="002D5C57" w:rsidRDefault="007337B0" w:rsidP="007337B0">
      <w:pPr>
        <w:spacing w:after="0"/>
        <w:jc w:val="both"/>
        <w:rPr>
          <w:rFonts w:ascii="Arial" w:hAnsi="Arial" w:cs="Arial"/>
        </w:rPr>
      </w:pPr>
      <w:r w:rsidRPr="002D5C57">
        <w:rPr>
          <w:rFonts w:ascii="Arial" w:hAnsi="Arial" w:cs="Arial"/>
          <w:b/>
          <w:bCs/>
        </w:rPr>
        <w:t>4. CLASSIFICAÇÃO DOS BENS COMUNS</w:t>
      </w:r>
      <w:r w:rsidRPr="002D5C57">
        <w:rPr>
          <w:rFonts w:ascii="Arial" w:hAnsi="Arial" w:cs="Arial"/>
        </w:rPr>
        <w:t xml:space="preserve"> </w:t>
      </w:r>
    </w:p>
    <w:p w14:paraId="1666ADD6" w14:textId="311A978D" w:rsidR="007337B0" w:rsidRPr="002D5C57" w:rsidRDefault="007337B0" w:rsidP="00E25CAD">
      <w:pPr>
        <w:spacing w:after="0"/>
        <w:ind w:right="-993"/>
        <w:jc w:val="both"/>
        <w:rPr>
          <w:rFonts w:ascii="Arial" w:hAnsi="Arial" w:cs="Arial"/>
        </w:rPr>
      </w:pPr>
      <w:r w:rsidRPr="002D5C57">
        <w:rPr>
          <w:rFonts w:ascii="Arial" w:hAnsi="Arial" w:cs="Arial"/>
        </w:rPr>
        <w:t>4.1. Consideram-se bens e serviços comuns</w:t>
      </w:r>
      <w:r w:rsidR="008E107F" w:rsidRPr="002D5C57">
        <w:rPr>
          <w:rFonts w:ascii="Arial" w:hAnsi="Arial" w:cs="Arial"/>
        </w:rPr>
        <w:t xml:space="preserve">, </w:t>
      </w:r>
      <w:r w:rsidRPr="002D5C57">
        <w:rPr>
          <w:rFonts w:ascii="Arial" w:hAnsi="Arial" w:cs="Arial"/>
        </w:rPr>
        <w:t xml:space="preserve">aqueles cujos padrões de desempenho e qualidade possam ser objetivamente definidos no Termo de Referência, por meio de especificações usuais no mercado. </w:t>
      </w:r>
    </w:p>
    <w:p w14:paraId="319EBCFA" w14:textId="77777777" w:rsidR="00783539" w:rsidRPr="002D5C57" w:rsidRDefault="00783539" w:rsidP="007337B0">
      <w:pPr>
        <w:spacing w:after="0"/>
        <w:jc w:val="both"/>
        <w:rPr>
          <w:rFonts w:ascii="Arial" w:hAnsi="Arial" w:cs="Arial"/>
        </w:rPr>
      </w:pPr>
    </w:p>
    <w:p w14:paraId="64E6C5CF" w14:textId="26FBFC42" w:rsidR="00C449B3" w:rsidRPr="002D5C57" w:rsidRDefault="00393482" w:rsidP="007337B0">
      <w:pPr>
        <w:spacing w:after="0"/>
        <w:jc w:val="both"/>
        <w:rPr>
          <w:rFonts w:ascii="Arial" w:hAnsi="Arial" w:cs="Arial"/>
          <w:b/>
          <w:bCs/>
        </w:rPr>
      </w:pPr>
      <w:r w:rsidRPr="002D5C57">
        <w:rPr>
          <w:rFonts w:ascii="Arial" w:hAnsi="Arial" w:cs="Arial"/>
          <w:b/>
          <w:bCs/>
        </w:rPr>
        <w:t>5</w:t>
      </w:r>
      <w:r w:rsidR="00DE6D4B" w:rsidRPr="002D5C57">
        <w:rPr>
          <w:rFonts w:ascii="Arial" w:hAnsi="Arial" w:cs="Arial"/>
          <w:b/>
          <w:bCs/>
        </w:rPr>
        <w:t xml:space="preserve">. OBRIGAÇÕES DA CONTRATANTE </w:t>
      </w:r>
    </w:p>
    <w:p w14:paraId="51617F0A" w14:textId="77777777" w:rsidR="00C449B3" w:rsidRPr="002D5C57" w:rsidRDefault="00DE6D4B" w:rsidP="007337B0">
      <w:pPr>
        <w:spacing w:after="0"/>
        <w:jc w:val="both"/>
        <w:rPr>
          <w:rFonts w:ascii="Arial" w:hAnsi="Arial" w:cs="Arial"/>
        </w:rPr>
      </w:pPr>
      <w:r w:rsidRPr="002D5C57">
        <w:rPr>
          <w:rFonts w:ascii="Arial" w:hAnsi="Arial" w:cs="Arial"/>
        </w:rPr>
        <w:t xml:space="preserve">5.1. São obrigações da Contratante: </w:t>
      </w:r>
    </w:p>
    <w:p w14:paraId="340E6648" w14:textId="77777777" w:rsidR="00C449B3" w:rsidRPr="002D5C57" w:rsidRDefault="00DE6D4B" w:rsidP="00E25CAD">
      <w:pPr>
        <w:spacing w:after="0"/>
        <w:ind w:right="-1134"/>
        <w:jc w:val="both"/>
        <w:rPr>
          <w:rFonts w:ascii="Arial" w:hAnsi="Arial" w:cs="Arial"/>
        </w:rPr>
      </w:pPr>
      <w:r w:rsidRPr="002D5C57">
        <w:rPr>
          <w:rFonts w:ascii="Arial" w:hAnsi="Arial" w:cs="Arial"/>
        </w:rPr>
        <w:t xml:space="preserve">5.1.1. receber o objeto no prazo e condições estabelecidas no Termo de Referência e seus anexos; </w:t>
      </w:r>
    </w:p>
    <w:p w14:paraId="0F3599B5" w14:textId="6F3F6F1D" w:rsidR="00C449B3" w:rsidRPr="002D5C57" w:rsidRDefault="00DE6D4B" w:rsidP="00E25CAD">
      <w:pPr>
        <w:spacing w:after="0"/>
        <w:ind w:right="-1134"/>
        <w:jc w:val="both"/>
        <w:rPr>
          <w:rFonts w:ascii="Arial" w:hAnsi="Arial" w:cs="Arial"/>
        </w:rPr>
      </w:pPr>
      <w:r w:rsidRPr="002D5C57">
        <w:rPr>
          <w:rFonts w:ascii="Arial" w:hAnsi="Arial" w:cs="Arial"/>
        </w:rPr>
        <w:t xml:space="preserve">5.1.2. verificar minuciosamente, no prazo fixado, </w:t>
      </w:r>
      <w:r w:rsidR="00393482" w:rsidRPr="002D5C57">
        <w:rPr>
          <w:rFonts w:ascii="Arial" w:hAnsi="Arial" w:cs="Arial"/>
        </w:rPr>
        <w:t>as especificações do produto</w:t>
      </w:r>
      <w:r w:rsidRPr="002D5C57">
        <w:rPr>
          <w:rFonts w:ascii="Arial" w:hAnsi="Arial" w:cs="Arial"/>
        </w:rPr>
        <w:t xml:space="preserve"> constantes do Termo de Referência e da proposta, para fins de aceitação e recebimento definitivo;</w:t>
      </w:r>
    </w:p>
    <w:p w14:paraId="0F9846B1" w14:textId="77777777" w:rsidR="00C449B3" w:rsidRPr="002D5C57" w:rsidRDefault="00DE6D4B" w:rsidP="00E25CAD">
      <w:pPr>
        <w:spacing w:after="0"/>
        <w:ind w:right="-1134"/>
        <w:jc w:val="both"/>
        <w:rPr>
          <w:rFonts w:ascii="Arial" w:hAnsi="Arial" w:cs="Arial"/>
        </w:rPr>
      </w:pPr>
      <w:r w:rsidRPr="002D5C57">
        <w:rPr>
          <w:rFonts w:ascii="Arial" w:hAnsi="Arial" w:cs="Arial"/>
        </w:rPr>
        <w:t xml:space="preserve"> 5.1.3. comunicar à Contratada, por escrito, sobre imperfeições, falhas ou irregularidades verificadas na prestação dos serviços, para que seja substituído, reparado ou corrigido; </w:t>
      </w:r>
    </w:p>
    <w:p w14:paraId="2DB31F43" w14:textId="77777777" w:rsidR="00C449B3" w:rsidRPr="002D5C57" w:rsidRDefault="00DE6D4B" w:rsidP="00E25CAD">
      <w:pPr>
        <w:spacing w:after="0"/>
        <w:ind w:right="-1134"/>
        <w:jc w:val="both"/>
        <w:rPr>
          <w:rFonts w:ascii="Arial" w:hAnsi="Arial" w:cs="Arial"/>
        </w:rPr>
      </w:pPr>
      <w:r w:rsidRPr="002D5C57">
        <w:rPr>
          <w:rFonts w:ascii="Arial" w:hAnsi="Arial" w:cs="Arial"/>
        </w:rPr>
        <w:lastRenderedPageBreak/>
        <w:t xml:space="preserve">5.1.4. acompanhar e fiscalizar o cumprimento das obrigações da Contratada, através de comissão/servidor especialmente designado; </w:t>
      </w:r>
    </w:p>
    <w:p w14:paraId="160580F1" w14:textId="77777777" w:rsidR="00C449B3" w:rsidRPr="002D5C57" w:rsidRDefault="00DE6D4B" w:rsidP="00E25CAD">
      <w:pPr>
        <w:spacing w:after="0"/>
        <w:ind w:right="-993"/>
        <w:jc w:val="both"/>
        <w:rPr>
          <w:rFonts w:ascii="Arial" w:hAnsi="Arial" w:cs="Arial"/>
        </w:rPr>
      </w:pPr>
      <w:r w:rsidRPr="002D5C57">
        <w:rPr>
          <w:rFonts w:ascii="Arial" w:hAnsi="Arial" w:cs="Arial"/>
        </w:rPr>
        <w:t xml:space="preserve">5.1.5. efetuar o pagamento à Contratada no valor correspondente ao fornecimento do objeto, no prazo e forma estabelecidos no Termo de Referência e seus anexos; </w:t>
      </w:r>
    </w:p>
    <w:p w14:paraId="15C67E07" w14:textId="77777777" w:rsidR="00C449B3" w:rsidRPr="002D5C57" w:rsidRDefault="00DE6D4B" w:rsidP="00E25CAD">
      <w:pPr>
        <w:spacing w:after="0"/>
        <w:ind w:right="-993"/>
        <w:jc w:val="both"/>
        <w:rPr>
          <w:rFonts w:ascii="Arial" w:hAnsi="Arial" w:cs="Arial"/>
        </w:rPr>
      </w:pPr>
      <w:r w:rsidRPr="002D5C57">
        <w:rPr>
          <w:rFonts w:ascii="Arial" w:hAnsi="Arial" w:cs="Arial"/>
        </w:rPr>
        <w:t>5.2. A Administração não responderá por quaisquer compromissos assumidos pela Contratada com terceiros, ainda que vinculados à execução do presente Termo de Referência, bem como por qualquer dano causado a terceiros em decorrência de ato da Contratada, de seus empregados, prepostos ou subordinados.</w:t>
      </w:r>
    </w:p>
    <w:p w14:paraId="5D5C20D8" w14:textId="77777777" w:rsidR="00783539" w:rsidRPr="002D5C57" w:rsidRDefault="00783539" w:rsidP="007337B0">
      <w:pPr>
        <w:spacing w:after="0"/>
        <w:jc w:val="both"/>
        <w:rPr>
          <w:rFonts w:ascii="Arial" w:hAnsi="Arial" w:cs="Arial"/>
        </w:rPr>
      </w:pPr>
    </w:p>
    <w:p w14:paraId="1F993D6C" w14:textId="77777777" w:rsidR="00C449B3" w:rsidRPr="002D5C57" w:rsidRDefault="00DE6D4B" w:rsidP="007337B0">
      <w:pPr>
        <w:spacing w:after="0"/>
        <w:jc w:val="both"/>
        <w:rPr>
          <w:rFonts w:ascii="Arial" w:hAnsi="Arial" w:cs="Arial"/>
          <w:b/>
          <w:bCs/>
        </w:rPr>
      </w:pPr>
      <w:r w:rsidRPr="002D5C57">
        <w:rPr>
          <w:rFonts w:ascii="Arial" w:hAnsi="Arial" w:cs="Arial"/>
          <w:b/>
          <w:bCs/>
        </w:rPr>
        <w:t xml:space="preserve"> 6. OBRIGAÇÕES DA CONTRATADA </w:t>
      </w:r>
    </w:p>
    <w:p w14:paraId="341E84AF" w14:textId="037FDFF2" w:rsidR="00C449B3" w:rsidRPr="002D5C57" w:rsidRDefault="00DE6D4B" w:rsidP="00E25CAD">
      <w:pPr>
        <w:spacing w:after="0"/>
        <w:ind w:right="-993"/>
        <w:jc w:val="both"/>
        <w:rPr>
          <w:rFonts w:ascii="Arial" w:hAnsi="Arial" w:cs="Arial"/>
        </w:rPr>
      </w:pPr>
      <w:r w:rsidRPr="002D5C57">
        <w:rPr>
          <w:rFonts w:ascii="Arial" w:hAnsi="Arial" w:cs="Arial"/>
        </w:rPr>
        <w:t>6.1. A Contratada deve cumprir todas as obrigações constantes no Termo de Referência,</w:t>
      </w:r>
      <w:r w:rsidR="00C449B3" w:rsidRPr="002D5C57">
        <w:rPr>
          <w:rFonts w:ascii="Arial" w:hAnsi="Arial" w:cs="Arial"/>
        </w:rPr>
        <w:t xml:space="preserve"> </w:t>
      </w:r>
      <w:r w:rsidRPr="002D5C57">
        <w:rPr>
          <w:rFonts w:ascii="Arial" w:hAnsi="Arial" w:cs="Arial"/>
        </w:rPr>
        <w:t xml:space="preserve">seus anexos e sua proposta, assumindo como exclusivamente os riscos e as despesas decorrentes da boa e perfeita execução do objeto e, ainda: </w:t>
      </w:r>
    </w:p>
    <w:p w14:paraId="4B2522A5" w14:textId="77777777" w:rsidR="00C449B3" w:rsidRPr="002D5C57" w:rsidRDefault="00C449B3" w:rsidP="00E25CAD">
      <w:pPr>
        <w:spacing w:after="0"/>
        <w:ind w:right="-993"/>
        <w:jc w:val="both"/>
        <w:rPr>
          <w:rFonts w:ascii="Arial" w:hAnsi="Arial" w:cs="Arial"/>
        </w:rPr>
      </w:pPr>
      <w:r w:rsidRPr="002D5C57">
        <w:rPr>
          <w:rFonts w:ascii="Arial" w:hAnsi="Arial" w:cs="Arial"/>
        </w:rPr>
        <w:t xml:space="preserve"> </w:t>
      </w:r>
      <w:r w:rsidR="00DE6D4B" w:rsidRPr="002D5C57">
        <w:rPr>
          <w:rFonts w:ascii="Arial" w:hAnsi="Arial" w:cs="Arial"/>
        </w:rPr>
        <w:t>6.1.1. efetuar a prestação dos serviços em perfeitas condições, conforme</w:t>
      </w:r>
      <w:r w:rsidRPr="002D5C57">
        <w:rPr>
          <w:rFonts w:ascii="Arial" w:hAnsi="Arial" w:cs="Arial"/>
        </w:rPr>
        <w:t xml:space="preserve"> </w:t>
      </w:r>
      <w:r w:rsidR="00DE6D4B" w:rsidRPr="002D5C57">
        <w:rPr>
          <w:rFonts w:ascii="Arial" w:hAnsi="Arial" w:cs="Arial"/>
        </w:rPr>
        <w:t xml:space="preserve">especificações, prazo e local constantes no Termo de Referência e seus anexos, acompanhado da respectiva nota fiscal, na qual constarão as indicações referentes a: marca, fabricante, modelo, procedência e prazo de garantia ou validade, quando houver, bem como relatório de serviços prestados, devidamente atestada pelo fiscal dos serviços ou servidor responsável; </w:t>
      </w:r>
    </w:p>
    <w:p w14:paraId="519D5D95" w14:textId="77777777" w:rsidR="00C449B3" w:rsidRPr="002D5C57" w:rsidRDefault="00DE6D4B" w:rsidP="00E25CAD">
      <w:pPr>
        <w:spacing w:after="0"/>
        <w:ind w:right="-993"/>
        <w:jc w:val="both"/>
        <w:rPr>
          <w:rFonts w:ascii="Arial" w:hAnsi="Arial" w:cs="Arial"/>
        </w:rPr>
      </w:pPr>
      <w:r w:rsidRPr="002D5C57">
        <w:rPr>
          <w:rFonts w:ascii="Arial" w:hAnsi="Arial" w:cs="Arial"/>
        </w:rPr>
        <w:t xml:space="preserve">6.1.2. responsabilizar-se pelos vícios e danos decorrentes do objeto, de acordo com os artigos 12, 13 e 17 a 27, do Código de Defesa do Consumidor (Lei nº 8.078, de 1990); </w:t>
      </w:r>
    </w:p>
    <w:p w14:paraId="36451F13" w14:textId="77777777" w:rsidR="00C449B3" w:rsidRPr="002D5C57" w:rsidRDefault="00DE6D4B" w:rsidP="00E25CAD">
      <w:pPr>
        <w:spacing w:after="0"/>
        <w:ind w:right="-993"/>
        <w:jc w:val="both"/>
        <w:rPr>
          <w:rFonts w:ascii="Arial" w:hAnsi="Arial" w:cs="Arial"/>
        </w:rPr>
      </w:pPr>
      <w:r w:rsidRPr="002D5C57">
        <w:rPr>
          <w:rFonts w:ascii="Arial" w:hAnsi="Arial" w:cs="Arial"/>
        </w:rPr>
        <w:t>6.1.3. substituir, reparar ou corrigir, às suas expensas, no prazo fixado neste</w:t>
      </w:r>
      <w:r w:rsidR="00C449B3" w:rsidRPr="002D5C57">
        <w:rPr>
          <w:rFonts w:ascii="Arial" w:hAnsi="Arial" w:cs="Arial"/>
        </w:rPr>
        <w:t xml:space="preserve"> </w:t>
      </w:r>
      <w:r w:rsidRPr="002D5C57">
        <w:rPr>
          <w:rFonts w:ascii="Arial" w:hAnsi="Arial" w:cs="Arial"/>
        </w:rPr>
        <w:t xml:space="preserve">Termo de Referência, o objeto com avarias ou defeitos; </w:t>
      </w:r>
    </w:p>
    <w:p w14:paraId="12AB3A32" w14:textId="640CC7CB" w:rsidR="00C449B3" w:rsidRPr="002D5C57" w:rsidRDefault="00DE6D4B" w:rsidP="00E25CAD">
      <w:pPr>
        <w:spacing w:after="0"/>
        <w:ind w:right="-993"/>
        <w:jc w:val="both"/>
        <w:rPr>
          <w:rFonts w:ascii="Arial" w:hAnsi="Arial" w:cs="Arial"/>
        </w:rPr>
      </w:pPr>
      <w:r w:rsidRPr="002D5C57">
        <w:rPr>
          <w:rFonts w:ascii="Arial" w:hAnsi="Arial" w:cs="Arial"/>
        </w:rPr>
        <w:t>6.1.</w:t>
      </w:r>
      <w:r w:rsidR="008E107F" w:rsidRPr="002D5C57">
        <w:rPr>
          <w:rFonts w:ascii="Arial" w:hAnsi="Arial" w:cs="Arial"/>
        </w:rPr>
        <w:t>4</w:t>
      </w:r>
      <w:r w:rsidRPr="002D5C57">
        <w:rPr>
          <w:rFonts w:ascii="Arial" w:hAnsi="Arial" w:cs="Arial"/>
        </w:rPr>
        <w:t>. manter, durante toda a execução do serviço, em compatibilidade com as obrigações assumidas, todas as condições de habilitação e qualificação exigidas na licitação; 6.1.6. indicar preposto para representá-la durante a execução do serviço.</w:t>
      </w:r>
    </w:p>
    <w:p w14:paraId="62551A29" w14:textId="77777777" w:rsidR="00783539" w:rsidRPr="002D5C57" w:rsidRDefault="00783539" w:rsidP="007337B0">
      <w:pPr>
        <w:spacing w:after="0"/>
        <w:jc w:val="both"/>
        <w:rPr>
          <w:rFonts w:ascii="Arial" w:hAnsi="Arial" w:cs="Arial"/>
        </w:rPr>
      </w:pPr>
    </w:p>
    <w:p w14:paraId="4C0BD955" w14:textId="77777777" w:rsidR="00C449B3" w:rsidRPr="002D5C57" w:rsidRDefault="00DE6D4B" w:rsidP="007337B0">
      <w:pPr>
        <w:spacing w:after="0"/>
        <w:jc w:val="both"/>
        <w:rPr>
          <w:rFonts w:ascii="Arial" w:hAnsi="Arial" w:cs="Arial"/>
          <w:b/>
          <w:bCs/>
        </w:rPr>
      </w:pPr>
      <w:r w:rsidRPr="002D5C57">
        <w:rPr>
          <w:rFonts w:ascii="Arial" w:hAnsi="Arial" w:cs="Arial"/>
          <w:b/>
          <w:bCs/>
        </w:rPr>
        <w:t xml:space="preserve"> 7. DA SUBCONTRATAÇÃO </w:t>
      </w:r>
    </w:p>
    <w:p w14:paraId="1B23448E" w14:textId="77777777" w:rsidR="00C449B3" w:rsidRPr="002D5C57" w:rsidRDefault="00DE6D4B" w:rsidP="007337B0">
      <w:pPr>
        <w:spacing w:after="0"/>
        <w:jc w:val="both"/>
        <w:rPr>
          <w:rFonts w:ascii="Arial" w:hAnsi="Arial" w:cs="Arial"/>
        </w:rPr>
      </w:pPr>
      <w:r w:rsidRPr="002D5C57">
        <w:rPr>
          <w:rFonts w:ascii="Arial" w:hAnsi="Arial" w:cs="Arial"/>
        </w:rPr>
        <w:t>7.1 Não será admitida a subcontratação do objeto licitatório.</w:t>
      </w:r>
    </w:p>
    <w:p w14:paraId="368F36E0" w14:textId="77777777" w:rsidR="00783539" w:rsidRPr="002D5C57" w:rsidRDefault="00783539" w:rsidP="007337B0">
      <w:pPr>
        <w:spacing w:after="0"/>
        <w:jc w:val="both"/>
        <w:rPr>
          <w:rFonts w:ascii="Arial" w:hAnsi="Arial" w:cs="Arial"/>
        </w:rPr>
      </w:pPr>
    </w:p>
    <w:p w14:paraId="14B35451" w14:textId="77777777" w:rsidR="00C449B3" w:rsidRPr="002D5C57" w:rsidRDefault="00DE6D4B" w:rsidP="007337B0">
      <w:pPr>
        <w:spacing w:after="0"/>
        <w:jc w:val="both"/>
        <w:rPr>
          <w:rFonts w:ascii="Arial" w:hAnsi="Arial" w:cs="Arial"/>
          <w:b/>
          <w:bCs/>
        </w:rPr>
      </w:pPr>
      <w:r w:rsidRPr="002D5C57">
        <w:rPr>
          <w:rFonts w:ascii="Arial" w:hAnsi="Arial" w:cs="Arial"/>
          <w:b/>
          <w:bCs/>
        </w:rPr>
        <w:t xml:space="preserve"> 8. DO CONTROLE E FISCALIZAÇÃO DA EXECUÇÃO </w:t>
      </w:r>
    </w:p>
    <w:p w14:paraId="75AA5780" w14:textId="77777777" w:rsidR="00C449B3" w:rsidRPr="002D5C57" w:rsidRDefault="00DE6D4B" w:rsidP="00E25CAD">
      <w:pPr>
        <w:spacing w:after="0"/>
        <w:ind w:right="-993"/>
        <w:jc w:val="both"/>
        <w:rPr>
          <w:rFonts w:ascii="Arial" w:hAnsi="Arial" w:cs="Arial"/>
        </w:rPr>
      </w:pPr>
      <w:r w:rsidRPr="002D5C57">
        <w:rPr>
          <w:rFonts w:ascii="Arial" w:hAnsi="Arial" w:cs="Arial"/>
        </w:rPr>
        <w:t xml:space="preserve">8.1. Nos termos do art. 117 da Lei 14.133/2021, será designado representante para acompanhar e fiscalizar a execução dos serviços, anotando em registro próprio todas as ocorrências relacionadas com a execução e determinando o que for necessário à regularização de falhas ou defeitos observados. </w:t>
      </w:r>
    </w:p>
    <w:p w14:paraId="4866EA01" w14:textId="77777777" w:rsidR="00C449B3" w:rsidRPr="002D5C57" w:rsidRDefault="00DE6D4B" w:rsidP="00E25CAD">
      <w:pPr>
        <w:spacing w:after="0"/>
        <w:ind w:right="-993"/>
        <w:jc w:val="both"/>
        <w:rPr>
          <w:rFonts w:ascii="Arial" w:hAnsi="Arial" w:cs="Arial"/>
        </w:rPr>
      </w:pPr>
      <w:r w:rsidRPr="002D5C57">
        <w:rPr>
          <w:rFonts w:ascii="Arial" w:hAnsi="Arial" w:cs="Arial"/>
        </w:rPr>
        <w:t xml:space="preserve">8.1.1.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14.133/2021. </w:t>
      </w:r>
    </w:p>
    <w:p w14:paraId="44608D74" w14:textId="77777777" w:rsidR="00C449B3" w:rsidRPr="002D5C57" w:rsidRDefault="00DE6D4B" w:rsidP="00E25CAD">
      <w:pPr>
        <w:spacing w:after="0"/>
        <w:ind w:right="-993"/>
        <w:jc w:val="both"/>
        <w:rPr>
          <w:rFonts w:ascii="Arial" w:hAnsi="Arial" w:cs="Arial"/>
        </w:rPr>
      </w:pPr>
      <w:r w:rsidRPr="002D5C57">
        <w:rPr>
          <w:rFonts w:ascii="Arial" w:hAnsi="Arial" w:cs="Arial"/>
        </w:rPr>
        <w:t xml:space="preserve">8.1.2. O representante da Administração anotará em registro próprio todas as ocorrências relacionadas com a execução do serviço, indicando dia, mês e ano, bem como o nome dos funcionários eventualmente envolvidos, determinando o que for necessário à regularização das falhas ou defeitos observados e encaminhando os apontamentos à autoridade competente para as providências cabíveis. </w:t>
      </w:r>
    </w:p>
    <w:p w14:paraId="1CDA72BB" w14:textId="77777777" w:rsidR="00C449B3" w:rsidRPr="002D5C57" w:rsidRDefault="00DE6D4B" w:rsidP="007337B0">
      <w:pPr>
        <w:spacing w:after="0"/>
        <w:jc w:val="both"/>
        <w:rPr>
          <w:rFonts w:ascii="Arial" w:hAnsi="Arial" w:cs="Arial"/>
          <w:b/>
          <w:bCs/>
        </w:rPr>
      </w:pPr>
      <w:r w:rsidRPr="002D5C57">
        <w:rPr>
          <w:rFonts w:ascii="Arial" w:hAnsi="Arial" w:cs="Arial"/>
          <w:b/>
          <w:bCs/>
        </w:rPr>
        <w:t xml:space="preserve">9. DO PAGAMENTO </w:t>
      </w:r>
    </w:p>
    <w:p w14:paraId="63900496" w14:textId="195A777D" w:rsidR="005D32F2" w:rsidRPr="002D5C57" w:rsidRDefault="00DE6D4B" w:rsidP="005D32F2">
      <w:pPr>
        <w:pStyle w:val="SemEspaamento"/>
        <w:ind w:right="-1134"/>
        <w:jc w:val="both"/>
        <w:rPr>
          <w:rFonts w:ascii="Arial" w:hAnsi="Arial" w:cs="Arial"/>
        </w:rPr>
      </w:pPr>
      <w:r w:rsidRPr="002D5C57">
        <w:rPr>
          <w:rFonts w:ascii="Arial" w:hAnsi="Arial" w:cs="Arial"/>
        </w:rPr>
        <w:lastRenderedPageBreak/>
        <w:t xml:space="preserve">9.1. O pagamento será realizado em </w:t>
      </w:r>
      <w:r w:rsidR="005D32F2" w:rsidRPr="002D5C57">
        <w:rPr>
          <w:rFonts w:ascii="Arial" w:hAnsi="Arial" w:cs="Arial"/>
        </w:rPr>
        <w:t xml:space="preserve">até 30 (trinta) dias, contados a partir do recebimento da nota fiscal e autorização de fornecimento juntamente com relatório dos serviços prestados. </w:t>
      </w:r>
    </w:p>
    <w:p w14:paraId="5563D848" w14:textId="77777777" w:rsidR="00C449B3" w:rsidRPr="002D5C57" w:rsidRDefault="00DE6D4B" w:rsidP="00E25CAD">
      <w:pPr>
        <w:spacing w:after="0"/>
        <w:ind w:right="-1134"/>
        <w:jc w:val="both"/>
        <w:rPr>
          <w:rFonts w:ascii="Arial" w:hAnsi="Arial" w:cs="Arial"/>
        </w:rPr>
      </w:pPr>
      <w:r w:rsidRPr="002D5C57">
        <w:rPr>
          <w:rFonts w:ascii="Arial" w:hAnsi="Arial" w:cs="Arial"/>
        </w:rPr>
        <w:t xml:space="preserve">9.2. Considera-se ocorrido o recebimento da nota fiscal ou fatura no momento em que o órgão contratante atestar a execução do objeto do serviço. </w:t>
      </w:r>
    </w:p>
    <w:p w14:paraId="602DE7EB" w14:textId="77777777" w:rsidR="00C449B3" w:rsidRPr="002D5C57" w:rsidRDefault="00DE6D4B" w:rsidP="00E25CAD">
      <w:pPr>
        <w:spacing w:after="0"/>
        <w:ind w:right="-1134"/>
        <w:jc w:val="both"/>
        <w:rPr>
          <w:rFonts w:ascii="Arial" w:hAnsi="Arial" w:cs="Arial"/>
        </w:rPr>
      </w:pPr>
      <w:r w:rsidRPr="002D5C57">
        <w:rPr>
          <w:rFonts w:ascii="Arial" w:hAnsi="Arial" w:cs="Arial"/>
        </w:rPr>
        <w:t xml:space="preserve">9.3. 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68 da Lei 14.133/2021. </w:t>
      </w:r>
    </w:p>
    <w:p w14:paraId="5FD72794" w14:textId="77777777" w:rsidR="00C449B3" w:rsidRPr="002D5C57" w:rsidRDefault="00DE6D4B" w:rsidP="00E25CAD">
      <w:pPr>
        <w:spacing w:after="0"/>
        <w:ind w:right="-1134"/>
        <w:jc w:val="both"/>
        <w:rPr>
          <w:rFonts w:ascii="Arial" w:hAnsi="Arial" w:cs="Arial"/>
        </w:rPr>
      </w:pPr>
      <w:r w:rsidRPr="002D5C57">
        <w:rPr>
          <w:rFonts w:ascii="Arial" w:hAnsi="Arial" w:cs="Arial"/>
        </w:rPr>
        <w:t xml:space="preserve">9.3.1. Constatando-se, junto ao SICAF, a situação de irregularidade do fornecedor contratado, deverão ser tomadas as providências previstas no art. 31 da Instrução Normativa nº 3, de 26 de abril de 2018. </w:t>
      </w:r>
    </w:p>
    <w:p w14:paraId="5E158E26" w14:textId="77777777" w:rsidR="00C449B3" w:rsidRPr="002D5C57" w:rsidRDefault="00DE6D4B" w:rsidP="00E25CAD">
      <w:pPr>
        <w:spacing w:after="0"/>
        <w:ind w:right="-1134"/>
        <w:jc w:val="both"/>
        <w:rPr>
          <w:rFonts w:ascii="Arial" w:hAnsi="Arial" w:cs="Arial"/>
        </w:rPr>
      </w:pPr>
      <w:r w:rsidRPr="002D5C57">
        <w:rPr>
          <w:rFonts w:ascii="Arial" w:hAnsi="Arial" w:cs="Arial"/>
        </w:rPr>
        <w:t xml:space="preserve">9.4.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 </w:t>
      </w:r>
    </w:p>
    <w:p w14:paraId="6BB6CF14" w14:textId="77777777" w:rsidR="00C449B3" w:rsidRPr="002D5C57" w:rsidRDefault="00DE6D4B" w:rsidP="00E25CAD">
      <w:pPr>
        <w:spacing w:after="0"/>
        <w:ind w:right="-1134"/>
        <w:jc w:val="both"/>
        <w:rPr>
          <w:rFonts w:ascii="Arial" w:hAnsi="Arial" w:cs="Arial"/>
        </w:rPr>
      </w:pPr>
      <w:r w:rsidRPr="002D5C57">
        <w:rPr>
          <w:rFonts w:ascii="Arial" w:hAnsi="Arial" w:cs="Arial"/>
        </w:rPr>
        <w:t xml:space="preserve">9.5. Será considerada data do pagamento o dia em que constar como emitida a ordem bancária para pagamento. </w:t>
      </w:r>
    </w:p>
    <w:p w14:paraId="467521C2" w14:textId="77777777" w:rsidR="00C449B3" w:rsidRPr="002D5C57" w:rsidRDefault="00DE6D4B" w:rsidP="00E25CAD">
      <w:pPr>
        <w:spacing w:after="0"/>
        <w:ind w:right="-1134"/>
        <w:jc w:val="both"/>
        <w:rPr>
          <w:rFonts w:ascii="Arial" w:hAnsi="Arial" w:cs="Arial"/>
        </w:rPr>
      </w:pPr>
      <w:r w:rsidRPr="002D5C57">
        <w:rPr>
          <w:rFonts w:ascii="Arial" w:hAnsi="Arial" w:cs="Arial"/>
        </w:rPr>
        <w:t xml:space="preserve">9.6. 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w:t>
      </w:r>
    </w:p>
    <w:p w14:paraId="1F029F54" w14:textId="77777777" w:rsidR="00C449B3" w:rsidRPr="002D5C57" w:rsidRDefault="00DE6D4B" w:rsidP="00E25CAD">
      <w:pPr>
        <w:spacing w:after="0"/>
        <w:ind w:right="-1134"/>
        <w:jc w:val="both"/>
        <w:rPr>
          <w:rFonts w:ascii="Arial" w:hAnsi="Arial" w:cs="Arial"/>
        </w:rPr>
      </w:pPr>
      <w:r w:rsidRPr="002D5C57">
        <w:rPr>
          <w:rFonts w:ascii="Arial" w:hAnsi="Arial" w:cs="Arial"/>
        </w:rPr>
        <w:t>9.7.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14:paraId="21FCEC28" w14:textId="77777777" w:rsidR="00C449B3" w:rsidRPr="002D5C57" w:rsidRDefault="00DE6D4B" w:rsidP="00E25CAD">
      <w:pPr>
        <w:spacing w:after="0"/>
        <w:ind w:right="-1134"/>
        <w:jc w:val="both"/>
        <w:rPr>
          <w:rFonts w:ascii="Arial" w:hAnsi="Arial" w:cs="Arial"/>
        </w:rPr>
      </w:pPr>
      <w:r w:rsidRPr="002D5C57">
        <w:rPr>
          <w:rFonts w:ascii="Arial" w:hAnsi="Arial" w:cs="Arial"/>
        </w:rPr>
        <w:t xml:space="preserve"> 9.8. Persistindo a irregularidade, a contratante deverá adotar as medidas necessárias à rescisão contratual nos autos do processo administrativo correspondente, assegurada à contratada a ampla defesa. </w:t>
      </w:r>
    </w:p>
    <w:p w14:paraId="38B58AA0" w14:textId="77777777" w:rsidR="00C449B3" w:rsidRPr="002D5C57" w:rsidRDefault="00DE6D4B" w:rsidP="00E25CAD">
      <w:pPr>
        <w:spacing w:after="0"/>
        <w:ind w:right="-1134"/>
        <w:jc w:val="both"/>
        <w:rPr>
          <w:rFonts w:ascii="Arial" w:hAnsi="Arial" w:cs="Arial"/>
        </w:rPr>
      </w:pPr>
      <w:r w:rsidRPr="002D5C57">
        <w:rPr>
          <w:rFonts w:ascii="Arial" w:hAnsi="Arial" w:cs="Arial"/>
        </w:rPr>
        <w:t xml:space="preserve">9.9. Havendo a efetiva execução do objeto, os pagamentos serão realizados normalmente, até que se decida pela não execução do serviço, caso a contratada não regularize sua situação junto ao SICAF. </w:t>
      </w:r>
    </w:p>
    <w:p w14:paraId="7AF18DA3" w14:textId="77777777" w:rsidR="00393482" w:rsidRPr="002D5C57" w:rsidRDefault="00DE6D4B" w:rsidP="00E25CAD">
      <w:pPr>
        <w:spacing w:after="0"/>
        <w:ind w:right="-1134"/>
        <w:jc w:val="both"/>
        <w:rPr>
          <w:rFonts w:ascii="Arial" w:hAnsi="Arial" w:cs="Arial"/>
        </w:rPr>
      </w:pPr>
      <w:r w:rsidRPr="002D5C57">
        <w:rPr>
          <w:rFonts w:ascii="Arial" w:hAnsi="Arial" w:cs="Arial"/>
        </w:rPr>
        <w:t>9.10. Será interrompido o serviço em execução com a contratada inadimplente no SICAF, salvo por motivo de economicidade, segurança nacional ou outro de interesse público de alta relevância, devidamente justificado, em qualquer caso, pela máxima autoridade da contratante.</w:t>
      </w:r>
    </w:p>
    <w:p w14:paraId="16A9BCED" w14:textId="77777777" w:rsidR="00393482" w:rsidRPr="002D5C57" w:rsidRDefault="00DE6D4B" w:rsidP="00E25CAD">
      <w:pPr>
        <w:spacing w:after="0"/>
        <w:ind w:right="-1134"/>
        <w:jc w:val="both"/>
        <w:rPr>
          <w:rFonts w:ascii="Arial" w:hAnsi="Arial" w:cs="Arial"/>
        </w:rPr>
      </w:pPr>
      <w:r w:rsidRPr="002D5C57">
        <w:rPr>
          <w:rFonts w:ascii="Arial" w:hAnsi="Arial" w:cs="Arial"/>
        </w:rPr>
        <w:t xml:space="preserve"> 9.11 Quando do pagamento, será efetuada a retenção tributária prevista na legislação aplicável. </w:t>
      </w:r>
    </w:p>
    <w:p w14:paraId="7FEC647A" w14:textId="1FD3AD3D" w:rsidR="00C449B3" w:rsidRPr="002764B2" w:rsidRDefault="00DE6D4B" w:rsidP="00E25CAD">
      <w:pPr>
        <w:spacing w:after="0"/>
        <w:ind w:right="-1134"/>
        <w:jc w:val="both"/>
        <w:rPr>
          <w:rFonts w:ascii="Arial" w:hAnsi="Arial" w:cs="Arial"/>
        </w:rPr>
      </w:pPr>
      <w:r w:rsidRPr="002D5C57">
        <w:rPr>
          <w:rFonts w:ascii="Arial" w:hAnsi="Arial" w:cs="Arial"/>
        </w:rPr>
        <w:t xml:space="preserve">9.11.1 A Contratada regularmente optante pelo Simples Nacional, nos termos </w:t>
      </w:r>
      <w:r w:rsidRPr="002764B2">
        <w:rPr>
          <w:rFonts w:ascii="Arial" w:hAnsi="Arial" w:cs="Arial"/>
        </w:rPr>
        <w:t xml:space="preserve">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7C66B931" w14:textId="77777777" w:rsidR="00783539" w:rsidRPr="002764B2" w:rsidRDefault="00783539" w:rsidP="007337B0">
      <w:pPr>
        <w:spacing w:after="0"/>
        <w:jc w:val="both"/>
        <w:rPr>
          <w:rFonts w:ascii="Arial" w:hAnsi="Arial" w:cs="Arial"/>
        </w:rPr>
      </w:pPr>
    </w:p>
    <w:p w14:paraId="7068345A" w14:textId="77777777" w:rsidR="00C449B3" w:rsidRPr="002764B2" w:rsidRDefault="00DE6D4B" w:rsidP="007337B0">
      <w:pPr>
        <w:spacing w:after="0"/>
        <w:jc w:val="both"/>
        <w:rPr>
          <w:rFonts w:ascii="Arial" w:hAnsi="Arial" w:cs="Arial"/>
          <w:b/>
          <w:bCs/>
        </w:rPr>
      </w:pPr>
      <w:r w:rsidRPr="002764B2">
        <w:rPr>
          <w:rFonts w:ascii="Arial" w:hAnsi="Arial" w:cs="Arial"/>
          <w:b/>
          <w:bCs/>
        </w:rPr>
        <w:t xml:space="preserve">10 DO REAJUSTE </w:t>
      </w:r>
    </w:p>
    <w:p w14:paraId="5F232106" w14:textId="77777777" w:rsidR="00C449B3" w:rsidRPr="002764B2" w:rsidRDefault="00DE6D4B" w:rsidP="00E25CAD">
      <w:pPr>
        <w:spacing w:after="0"/>
        <w:ind w:right="-1134"/>
        <w:jc w:val="both"/>
        <w:rPr>
          <w:rFonts w:ascii="Arial" w:hAnsi="Arial" w:cs="Arial"/>
        </w:rPr>
      </w:pPr>
      <w:r w:rsidRPr="002764B2">
        <w:rPr>
          <w:rFonts w:ascii="Arial" w:hAnsi="Arial" w:cs="Arial"/>
        </w:rPr>
        <w:lastRenderedPageBreak/>
        <w:t xml:space="preserve">10.1 Os preços são fixos e irreajustáveis no prazo de um ano contado da data limite para a apresentação das propostas. </w:t>
      </w:r>
    </w:p>
    <w:p w14:paraId="62E31E66" w14:textId="77777777" w:rsidR="005D32F2" w:rsidRPr="002764B2" w:rsidRDefault="005D32F2" w:rsidP="00E25CAD">
      <w:pPr>
        <w:spacing w:after="0"/>
        <w:ind w:right="-1134"/>
        <w:jc w:val="both"/>
        <w:rPr>
          <w:rFonts w:ascii="Arial" w:hAnsi="Arial" w:cs="Arial"/>
        </w:rPr>
      </w:pPr>
    </w:p>
    <w:p w14:paraId="3C3046F6" w14:textId="77777777" w:rsidR="00C449B3" w:rsidRPr="002764B2" w:rsidRDefault="00DE6D4B" w:rsidP="007337B0">
      <w:pPr>
        <w:spacing w:after="0"/>
        <w:jc w:val="both"/>
        <w:rPr>
          <w:rFonts w:ascii="Arial" w:hAnsi="Arial" w:cs="Arial"/>
          <w:b/>
          <w:bCs/>
        </w:rPr>
      </w:pPr>
      <w:r w:rsidRPr="002764B2">
        <w:rPr>
          <w:rFonts w:ascii="Arial" w:hAnsi="Arial" w:cs="Arial"/>
          <w:b/>
          <w:bCs/>
        </w:rPr>
        <w:t xml:space="preserve">11 DAS SANÇÕES ADMINISTRATIVAS </w:t>
      </w:r>
    </w:p>
    <w:p w14:paraId="00A63226" w14:textId="77777777" w:rsidR="00783539" w:rsidRPr="002764B2" w:rsidRDefault="00783539" w:rsidP="007337B0">
      <w:pPr>
        <w:spacing w:after="0"/>
        <w:jc w:val="both"/>
        <w:rPr>
          <w:rFonts w:ascii="Arial" w:hAnsi="Arial" w:cs="Arial"/>
          <w:b/>
          <w:bCs/>
        </w:rPr>
      </w:pPr>
    </w:p>
    <w:p w14:paraId="7B8D2350" w14:textId="77777777" w:rsidR="00C449B3" w:rsidRPr="002764B2" w:rsidRDefault="00DE6D4B" w:rsidP="00E25CAD">
      <w:pPr>
        <w:spacing w:after="0"/>
        <w:ind w:right="-1134"/>
        <w:jc w:val="both"/>
        <w:rPr>
          <w:rFonts w:ascii="Arial" w:hAnsi="Arial" w:cs="Arial"/>
        </w:rPr>
      </w:pPr>
      <w:r w:rsidRPr="002764B2">
        <w:rPr>
          <w:rFonts w:ascii="Arial" w:hAnsi="Arial" w:cs="Arial"/>
        </w:rPr>
        <w:t xml:space="preserve">11.1 Comete infração administrativa nos termos do art. 155, da Lei nº 14.133/2021, a Contratada que: </w:t>
      </w:r>
    </w:p>
    <w:p w14:paraId="791015A7" w14:textId="77777777" w:rsidR="00C449B3" w:rsidRPr="002764B2" w:rsidRDefault="00DE6D4B" w:rsidP="00E25CAD">
      <w:pPr>
        <w:spacing w:after="0"/>
        <w:ind w:right="-1134"/>
        <w:jc w:val="both"/>
        <w:rPr>
          <w:rFonts w:ascii="Arial" w:hAnsi="Arial" w:cs="Arial"/>
        </w:rPr>
      </w:pPr>
      <w:r w:rsidRPr="002764B2">
        <w:rPr>
          <w:rFonts w:ascii="Arial" w:hAnsi="Arial" w:cs="Arial"/>
        </w:rPr>
        <w:t xml:space="preserve">11.1.1 </w:t>
      </w:r>
      <w:proofErr w:type="spellStart"/>
      <w:r w:rsidRPr="002764B2">
        <w:rPr>
          <w:rFonts w:ascii="Arial" w:hAnsi="Arial" w:cs="Arial"/>
        </w:rPr>
        <w:t>inexecutar</w:t>
      </w:r>
      <w:proofErr w:type="spellEnd"/>
      <w:r w:rsidRPr="002764B2">
        <w:rPr>
          <w:rFonts w:ascii="Arial" w:hAnsi="Arial" w:cs="Arial"/>
        </w:rPr>
        <w:t xml:space="preserve"> total ou parcialmente qualquer das obrigações assumidas em decorrência da contratação; </w:t>
      </w:r>
    </w:p>
    <w:p w14:paraId="3490ECEF" w14:textId="77777777" w:rsidR="00C449B3" w:rsidRPr="002764B2" w:rsidRDefault="00DE6D4B" w:rsidP="00E25CAD">
      <w:pPr>
        <w:spacing w:after="0"/>
        <w:ind w:right="-1134"/>
        <w:jc w:val="both"/>
        <w:rPr>
          <w:rFonts w:ascii="Arial" w:hAnsi="Arial" w:cs="Arial"/>
        </w:rPr>
      </w:pPr>
      <w:r w:rsidRPr="002764B2">
        <w:rPr>
          <w:rFonts w:ascii="Arial" w:hAnsi="Arial" w:cs="Arial"/>
        </w:rPr>
        <w:t xml:space="preserve">11.1.2 ensejar o retardamento da execução do objeto; 11.1.3 falhar ou fraudar na execução do serviço; </w:t>
      </w:r>
    </w:p>
    <w:p w14:paraId="0A077C9C" w14:textId="77777777" w:rsidR="00C449B3" w:rsidRPr="002764B2" w:rsidRDefault="00DE6D4B" w:rsidP="007337B0">
      <w:pPr>
        <w:spacing w:after="0"/>
        <w:jc w:val="both"/>
        <w:rPr>
          <w:rFonts w:ascii="Arial" w:hAnsi="Arial" w:cs="Arial"/>
        </w:rPr>
      </w:pPr>
      <w:r w:rsidRPr="002764B2">
        <w:rPr>
          <w:rFonts w:ascii="Arial" w:hAnsi="Arial" w:cs="Arial"/>
        </w:rPr>
        <w:t xml:space="preserve">11.1.4 comportar-se de modo inidôneo; </w:t>
      </w:r>
    </w:p>
    <w:p w14:paraId="3DC2D5C5" w14:textId="77777777" w:rsidR="00C449B3" w:rsidRPr="002764B2" w:rsidRDefault="00DE6D4B" w:rsidP="007337B0">
      <w:pPr>
        <w:spacing w:after="0"/>
        <w:jc w:val="both"/>
        <w:rPr>
          <w:rFonts w:ascii="Arial" w:hAnsi="Arial" w:cs="Arial"/>
        </w:rPr>
      </w:pPr>
      <w:r w:rsidRPr="002764B2">
        <w:rPr>
          <w:rFonts w:ascii="Arial" w:hAnsi="Arial" w:cs="Arial"/>
        </w:rPr>
        <w:t xml:space="preserve">11.1.5 cometer fraude fiscal; </w:t>
      </w:r>
    </w:p>
    <w:p w14:paraId="018AC1D7" w14:textId="77777777" w:rsidR="00C449B3" w:rsidRPr="002764B2" w:rsidRDefault="00DE6D4B" w:rsidP="00E25CAD">
      <w:pPr>
        <w:spacing w:after="0"/>
        <w:ind w:right="-1134"/>
        <w:jc w:val="both"/>
        <w:rPr>
          <w:rFonts w:ascii="Arial" w:hAnsi="Arial" w:cs="Arial"/>
        </w:rPr>
      </w:pPr>
      <w:r w:rsidRPr="002764B2">
        <w:rPr>
          <w:rFonts w:ascii="Arial" w:hAnsi="Arial" w:cs="Arial"/>
        </w:rPr>
        <w:t xml:space="preserve">11.2 Pela inexecução total ou parcial do serviço, a Administração pode aplicar à CONTRATADA as seguintes sanções: </w:t>
      </w:r>
    </w:p>
    <w:p w14:paraId="4A3B1402" w14:textId="77777777" w:rsidR="00C449B3" w:rsidRPr="002764B2" w:rsidRDefault="00DE6D4B" w:rsidP="00E25CAD">
      <w:pPr>
        <w:spacing w:after="0"/>
        <w:ind w:right="-1134"/>
        <w:jc w:val="both"/>
        <w:rPr>
          <w:rFonts w:ascii="Arial" w:hAnsi="Arial" w:cs="Arial"/>
        </w:rPr>
      </w:pPr>
      <w:r w:rsidRPr="002764B2">
        <w:rPr>
          <w:rFonts w:ascii="Arial" w:hAnsi="Arial" w:cs="Arial"/>
        </w:rPr>
        <w:t xml:space="preserve">11.2.1 Advertência, por faltas leves, assim entendidas aquelas que não acarretem prejuízos significativos para a Contratante; </w:t>
      </w:r>
    </w:p>
    <w:p w14:paraId="374090FE" w14:textId="77777777" w:rsidR="00C449B3" w:rsidRPr="002764B2" w:rsidRDefault="00DE6D4B" w:rsidP="00E25CAD">
      <w:pPr>
        <w:spacing w:after="0"/>
        <w:ind w:right="-1134"/>
        <w:jc w:val="both"/>
        <w:rPr>
          <w:rFonts w:ascii="Arial" w:hAnsi="Arial" w:cs="Arial"/>
        </w:rPr>
      </w:pPr>
      <w:r w:rsidRPr="002764B2">
        <w:rPr>
          <w:rFonts w:ascii="Arial" w:hAnsi="Arial" w:cs="Arial"/>
        </w:rPr>
        <w:t xml:space="preserve">11.2.2 multa compensatória de 10% (dez por cento) sobre o valor total do serviço, no caso de inexecução total do objeto; </w:t>
      </w:r>
    </w:p>
    <w:p w14:paraId="0505B677" w14:textId="77777777" w:rsidR="00C449B3" w:rsidRPr="002764B2" w:rsidRDefault="00DE6D4B" w:rsidP="00E25CAD">
      <w:pPr>
        <w:spacing w:after="0"/>
        <w:ind w:right="-1134"/>
        <w:jc w:val="both"/>
        <w:rPr>
          <w:rFonts w:ascii="Arial" w:hAnsi="Arial" w:cs="Arial"/>
        </w:rPr>
      </w:pPr>
      <w:r w:rsidRPr="002764B2">
        <w:rPr>
          <w:rFonts w:ascii="Arial" w:hAnsi="Arial" w:cs="Arial"/>
        </w:rPr>
        <w:t xml:space="preserve">11.2.3 em caso de inexecução parcial, a multa compensatória, no mesmo percentual do subitem acima, será aplicada de forma proporcional à obrigação inadimplida; </w:t>
      </w:r>
    </w:p>
    <w:p w14:paraId="6F1B6D01" w14:textId="77777777" w:rsidR="00C449B3" w:rsidRPr="002764B2" w:rsidRDefault="00DE6D4B" w:rsidP="00E25CAD">
      <w:pPr>
        <w:spacing w:after="0"/>
        <w:ind w:right="-1134"/>
        <w:jc w:val="both"/>
        <w:rPr>
          <w:rFonts w:ascii="Arial" w:hAnsi="Arial" w:cs="Arial"/>
        </w:rPr>
      </w:pPr>
      <w:r w:rsidRPr="002764B2">
        <w:rPr>
          <w:rFonts w:ascii="Arial" w:hAnsi="Arial" w:cs="Arial"/>
        </w:rPr>
        <w:t xml:space="preserve">11.2.4 suspensão de licitar e impedimento de contratar com o órgão, entidade ou unidade administrativa pela qual a Administração Pública opera e atua concretamente, pelo prazo de até três anos; </w:t>
      </w:r>
    </w:p>
    <w:p w14:paraId="2D58FFD9" w14:textId="77777777" w:rsidR="00C449B3" w:rsidRPr="002764B2" w:rsidRDefault="00DE6D4B" w:rsidP="00E25CAD">
      <w:pPr>
        <w:spacing w:after="0"/>
        <w:ind w:right="-1134"/>
        <w:jc w:val="both"/>
        <w:rPr>
          <w:rFonts w:ascii="Arial" w:hAnsi="Arial" w:cs="Arial"/>
        </w:rPr>
      </w:pPr>
      <w:r w:rsidRPr="002764B2">
        <w:rPr>
          <w:rFonts w:ascii="Arial" w:hAnsi="Arial" w:cs="Arial"/>
        </w:rPr>
        <w:t xml:space="preserve">11.2.5 impedimento de licitar e contratar com órgãos e entidades da União com o consequente descredenciamento no SICAF pelo prazo de até cinco anos; </w:t>
      </w:r>
    </w:p>
    <w:p w14:paraId="4288C565" w14:textId="17EFDF5B" w:rsidR="00C449B3" w:rsidRPr="002764B2" w:rsidRDefault="00DE6D4B" w:rsidP="00E25CAD">
      <w:pPr>
        <w:spacing w:after="0"/>
        <w:ind w:right="-1134"/>
        <w:jc w:val="both"/>
        <w:rPr>
          <w:rFonts w:ascii="Arial" w:hAnsi="Arial" w:cs="Arial"/>
        </w:rPr>
      </w:pPr>
      <w:r w:rsidRPr="002764B2">
        <w:rPr>
          <w:rFonts w:ascii="Arial" w:hAnsi="Arial" w:cs="Arial"/>
        </w:rPr>
        <w:t>11.2.5.1. A sanção de impedimento de licitar e contratar prevista neste subitem também é aplicável em quaisquer das hipóteses previstas</w:t>
      </w:r>
      <w:r w:rsidR="002764B2">
        <w:rPr>
          <w:rFonts w:ascii="Arial" w:hAnsi="Arial" w:cs="Arial"/>
        </w:rPr>
        <w:t xml:space="preserve"> </w:t>
      </w:r>
      <w:r w:rsidRPr="002764B2">
        <w:rPr>
          <w:rFonts w:ascii="Arial" w:hAnsi="Arial" w:cs="Arial"/>
        </w:rPr>
        <w:t xml:space="preserve">como infração administrativa no subitem 16.1 deste Termo de Referência. </w:t>
      </w:r>
    </w:p>
    <w:p w14:paraId="4DDAC854" w14:textId="68585FD4" w:rsidR="00C449B3" w:rsidRPr="002764B2" w:rsidRDefault="00DE6D4B" w:rsidP="00E25CAD">
      <w:pPr>
        <w:spacing w:after="0"/>
        <w:ind w:right="-1134"/>
        <w:jc w:val="both"/>
        <w:rPr>
          <w:rFonts w:ascii="Arial" w:hAnsi="Arial" w:cs="Arial"/>
        </w:rPr>
      </w:pPr>
      <w:r w:rsidRPr="002764B2">
        <w:rPr>
          <w:rFonts w:ascii="Arial" w:hAnsi="Arial" w:cs="Arial"/>
        </w:rPr>
        <w:t>11.2.6 declaração de inidoneidade para licitar ou contratar com a Administração Pública, enquanto perdurarem os motivos determinantes da punição ou até que seja promovida a reabilitação perante a própria autoridade que aplicou a penalidade,</w:t>
      </w:r>
      <w:r w:rsidR="002764B2">
        <w:rPr>
          <w:rFonts w:ascii="Arial" w:hAnsi="Arial" w:cs="Arial"/>
        </w:rPr>
        <w:t xml:space="preserve"> </w:t>
      </w:r>
      <w:r w:rsidRPr="002764B2">
        <w:rPr>
          <w:rFonts w:ascii="Arial" w:hAnsi="Arial" w:cs="Arial"/>
        </w:rPr>
        <w:t xml:space="preserve">que será concedida sempre que a Contratada ressarcir a Contratante pelos prejuízos causados; </w:t>
      </w:r>
    </w:p>
    <w:p w14:paraId="17AC5524" w14:textId="77777777" w:rsidR="00C449B3" w:rsidRPr="002764B2" w:rsidRDefault="00DE6D4B" w:rsidP="00E25CAD">
      <w:pPr>
        <w:spacing w:after="0"/>
        <w:ind w:right="-1134"/>
        <w:jc w:val="both"/>
        <w:rPr>
          <w:rFonts w:ascii="Arial" w:hAnsi="Arial" w:cs="Arial"/>
        </w:rPr>
      </w:pPr>
      <w:r w:rsidRPr="002764B2">
        <w:rPr>
          <w:rFonts w:ascii="Arial" w:hAnsi="Arial" w:cs="Arial"/>
        </w:rPr>
        <w:t xml:space="preserve">11.3 As sanções previstas nos subitens 16.2.1, 16.2.5, 16.2.6 e 16.2.7 poderão ser aplicadas à CONTRATADA acompanhada de as de multa, descontando-a dos pagamentos a serem efetuados. </w:t>
      </w:r>
    </w:p>
    <w:p w14:paraId="5C297032" w14:textId="77777777" w:rsidR="00C449B3" w:rsidRPr="002764B2" w:rsidRDefault="00DE6D4B" w:rsidP="005D32F2">
      <w:pPr>
        <w:spacing w:after="0"/>
        <w:ind w:right="-1134"/>
        <w:jc w:val="both"/>
        <w:rPr>
          <w:rFonts w:ascii="Arial" w:hAnsi="Arial" w:cs="Arial"/>
        </w:rPr>
      </w:pPr>
      <w:r w:rsidRPr="002764B2">
        <w:rPr>
          <w:rFonts w:ascii="Arial" w:hAnsi="Arial" w:cs="Arial"/>
        </w:rPr>
        <w:t xml:space="preserve">11.4 Também ficam sujeitas às penalidades do </w:t>
      </w:r>
      <w:proofErr w:type="spellStart"/>
      <w:r w:rsidRPr="002764B2">
        <w:rPr>
          <w:rFonts w:ascii="Arial" w:hAnsi="Arial" w:cs="Arial"/>
        </w:rPr>
        <w:t>art</w:t>
      </w:r>
      <w:proofErr w:type="spellEnd"/>
      <w:r w:rsidRPr="002764B2">
        <w:rPr>
          <w:rFonts w:ascii="Arial" w:hAnsi="Arial" w:cs="Arial"/>
        </w:rPr>
        <w:t xml:space="preserve"> 156, da Lei 14.133/2021, as empresas ou profissionais que: </w:t>
      </w:r>
    </w:p>
    <w:p w14:paraId="7E2C5854" w14:textId="77777777" w:rsidR="00C449B3" w:rsidRPr="002764B2" w:rsidRDefault="00DE6D4B" w:rsidP="00E25CAD">
      <w:pPr>
        <w:spacing w:after="0"/>
        <w:ind w:right="-1134"/>
        <w:jc w:val="both"/>
        <w:rPr>
          <w:rFonts w:ascii="Arial" w:hAnsi="Arial" w:cs="Arial"/>
        </w:rPr>
      </w:pPr>
      <w:r w:rsidRPr="002764B2">
        <w:rPr>
          <w:rFonts w:ascii="Arial" w:hAnsi="Arial" w:cs="Arial"/>
        </w:rPr>
        <w:t xml:space="preserve">11.4.1 tenham sofrido condenação definitiva por praticar, por meio dolosos, fraude fiscal no recolhimento de quaisquer tributos; </w:t>
      </w:r>
    </w:p>
    <w:p w14:paraId="358F59DF" w14:textId="77777777" w:rsidR="00C449B3" w:rsidRPr="002764B2" w:rsidRDefault="00DE6D4B" w:rsidP="007337B0">
      <w:pPr>
        <w:spacing w:after="0"/>
        <w:jc w:val="both"/>
        <w:rPr>
          <w:rFonts w:ascii="Arial" w:hAnsi="Arial" w:cs="Arial"/>
        </w:rPr>
      </w:pPr>
      <w:r w:rsidRPr="002764B2">
        <w:rPr>
          <w:rFonts w:ascii="Arial" w:hAnsi="Arial" w:cs="Arial"/>
        </w:rPr>
        <w:t xml:space="preserve">11.4.2 tenham praticado atos ilícitos visando a frustrar os objetivos da licitação; </w:t>
      </w:r>
    </w:p>
    <w:p w14:paraId="1F2E5636" w14:textId="77777777" w:rsidR="00C449B3" w:rsidRPr="002764B2" w:rsidRDefault="00DE6D4B" w:rsidP="00E25CAD">
      <w:pPr>
        <w:spacing w:after="0"/>
        <w:ind w:right="-1134"/>
        <w:jc w:val="both"/>
        <w:rPr>
          <w:rFonts w:ascii="Arial" w:hAnsi="Arial" w:cs="Arial"/>
        </w:rPr>
      </w:pPr>
      <w:r w:rsidRPr="002764B2">
        <w:rPr>
          <w:rFonts w:ascii="Arial" w:hAnsi="Arial" w:cs="Arial"/>
        </w:rPr>
        <w:t>11.4.3 demonstrem não possuir idoneidade para contratar com a Administração em virtude de atos ilícitos praticados.</w:t>
      </w:r>
    </w:p>
    <w:p w14:paraId="639F83E1" w14:textId="77777777" w:rsidR="00C449B3" w:rsidRPr="002764B2" w:rsidRDefault="00DE6D4B" w:rsidP="00E25CAD">
      <w:pPr>
        <w:spacing w:after="0"/>
        <w:ind w:right="-1134"/>
        <w:jc w:val="both"/>
        <w:rPr>
          <w:rFonts w:ascii="Arial" w:hAnsi="Arial" w:cs="Arial"/>
        </w:rPr>
      </w:pPr>
      <w:r w:rsidRPr="002764B2">
        <w:rPr>
          <w:rFonts w:ascii="Arial" w:hAnsi="Arial" w:cs="Arial"/>
        </w:rPr>
        <w:t xml:space="preserve"> 11.5 A aplicação de qualquer das penalidades previstas realizar-se-á em processo administrativo que assegurará o contraditório e a ampla defesa à Contratada, observando-se o procedimento previsto na Lei nº 14133, e subsidiariamente a Lei nº 9.784, de 1999. </w:t>
      </w:r>
    </w:p>
    <w:p w14:paraId="1FFE0B1E" w14:textId="77777777" w:rsidR="00C449B3" w:rsidRPr="002764B2" w:rsidRDefault="00DE6D4B" w:rsidP="00E25CAD">
      <w:pPr>
        <w:spacing w:after="0"/>
        <w:ind w:right="-1134"/>
        <w:jc w:val="both"/>
        <w:rPr>
          <w:rFonts w:ascii="Arial" w:hAnsi="Arial" w:cs="Arial"/>
        </w:rPr>
      </w:pPr>
      <w:r w:rsidRPr="002764B2">
        <w:rPr>
          <w:rFonts w:ascii="Arial" w:hAnsi="Arial" w:cs="Arial"/>
        </w:rPr>
        <w:lastRenderedPageBreak/>
        <w:t xml:space="preserve">11.6 As multas devidas e/ou prejuízos causados à Contratante serão deduzidos dos valores a serem pagos, ou recolhidos em favor da União, ou deduzidos da garantia, ou ainda, quando for o caso, serão inscritos na Dívida Ativa da União e cobrados judicialmente. </w:t>
      </w:r>
    </w:p>
    <w:p w14:paraId="620822C4" w14:textId="77777777" w:rsidR="00C449B3" w:rsidRPr="002764B2" w:rsidRDefault="00DE6D4B" w:rsidP="00E25CAD">
      <w:pPr>
        <w:spacing w:after="0"/>
        <w:ind w:right="-1134"/>
        <w:jc w:val="both"/>
        <w:rPr>
          <w:rFonts w:ascii="Arial" w:hAnsi="Arial" w:cs="Arial"/>
        </w:rPr>
      </w:pPr>
      <w:r w:rsidRPr="002764B2">
        <w:rPr>
          <w:rFonts w:ascii="Arial" w:hAnsi="Arial" w:cs="Arial"/>
        </w:rPr>
        <w:t xml:space="preserve">11.7 Caso o valor da multa não seja suficiente para cobrir os prejuízos causados pela conduta do licitante, a União ou Entidade poderá cobrar o valor remanescente judicialmente, conforme artigo 419 do Código Civil. </w:t>
      </w:r>
    </w:p>
    <w:p w14:paraId="17C4C2BD" w14:textId="078299B9" w:rsidR="00C449B3" w:rsidRPr="002764B2" w:rsidRDefault="00DE6D4B" w:rsidP="00E25CAD">
      <w:pPr>
        <w:spacing w:after="0"/>
        <w:ind w:right="-1134"/>
        <w:jc w:val="both"/>
        <w:rPr>
          <w:rFonts w:ascii="Arial" w:hAnsi="Arial" w:cs="Arial"/>
        </w:rPr>
      </w:pPr>
      <w:r w:rsidRPr="002764B2">
        <w:rPr>
          <w:rFonts w:ascii="Arial" w:hAnsi="Arial" w:cs="Arial"/>
        </w:rPr>
        <w:t>11.8 A autoridade competente, na aplicação das sanções, levará em consideração a gravidade da conduta do infrator, o caráter educativo da pena, bem como o dano</w:t>
      </w:r>
      <w:r w:rsidR="00C449B3" w:rsidRPr="002764B2">
        <w:rPr>
          <w:rFonts w:ascii="Arial" w:hAnsi="Arial" w:cs="Arial"/>
        </w:rPr>
        <w:t xml:space="preserve"> </w:t>
      </w:r>
      <w:r w:rsidRPr="002764B2">
        <w:rPr>
          <w:rFonts w:ascii="Arial" w:hAnsi="Arial" w:cs="Arial"/>
        </w:rPr>
        <w:t xml:space="preserve">causado à Administração, observado o princípio da proporcionalidade. </w:t>
      </w:r>
    </w:p>
    <w:p w14:paraId="395D1E5B" w14:textId="77777777" w:rsidR="00C449B3" w:rsidRPr="002764B2" w:rsidRDefault="00DE6D4B" w:rsidP="00E25CAD">
      <w:pPr>
        <w:spacing w:after="0"/>
        <w:ind w:right="-1134"/>
        <w:jc w:val="both"/>
        <w:rPr>
          <w:rFonts w:ascii="Arial" w:hAnsi="Arial" w:cs="Arial"/>
        </w:rPr>
      </w:pPr>
      <w:r w:rsidRPr="002764B2">
        <w:rPr>
          <w:rFonts w:ascii="Arial" w:hAnsi="Arial" w:cs="Arial"/>
        </w:rPr>
        <w:t xml:space="preserve">11.9 Se, durante o processo de aplicação de penalidade, se houver indícios de prática de infração administrativa tipificada pela Lei nº 12.846, de 1º de agosto de 2013, como </w:t>
      </w:r>
      <w:proofErr w:type="spellStart"/>
      <w:r w:rsidRPr="002764B2">
        <w:rPr>
          <w:rFonts w:ascii="Arial" w:hAnsi="Arial" w:cs="Arial"/>
        </w:rPr>
        <w:t>atolesivo</w:t>
      </w:r>
      <w:proofErr w:type="spellEnd"/>
      <w:r w:rsidRPr="002764B2">
        <w:rPr>
          <w:rFonts w:ascii="Arial" w:hAnsi="Arial" w:cs="Arial"/>
        </w:rPr>
        <w:t xml:space="preserve"> à administração pública nacional ou estrangeira, cópias dos processos administrativos necessários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0B22FE21" w14:textId="77777777" w:rsidR="00C449B3" w:rsidRPr="002764B2" w:rsidRDefault="00DE6D4B" w:rsidP="00E25CAD">
      <w:pPr>
        <w:spacing w:after="0"/>
        <w:ind w:right="-1134"/>
        <w:jc w:val="both"/>
        <w:rPr>
          <w:rFonts w:ascii="Arial" w:hAnsi="Arial" w:cs="Arial"/>
        </w:rPr>
      </w:pPr>
      <w:r w:rsidRPr="002764B2">
        <w:rPr>
          <w:rFonts w:ascii="Arial" w:hAnsi="Arial" w:cs="Arial"/>
        </w:rPr>
        <w:t xml:space="preserve">11.10 A apuração e o julgamento das demais infrações administrativas não consideradas como ato lesivo à Administração Pública nacional ou estrangeira nos termos da Lei nº 12.846, de 1º de agosto de 2013, seguirão seu rito normal na unidade administrativa. </w:t>
      </w:r>
    </w:p>
    <w:p w14:paraId="26EDAFEB" w14:textId="77777777" w:rsidR="00C449B3" w:rsidRPr="002764B2" w:rsidRDefault="00DE6D4B" w:rsidP="00E25CAD">
      <w:pPr>
        <w:spacing w:after="0"/>
        <w:ind w:right="-1134"/>
        <w:jc w:val="both"/>
        <w:rPr>
          <w:rFonts w:ascii="Arial" w:hAnsi="Arial" w:cs="Arial"/>
        </w:rPr>
      </w:pPr>
      <w:r w:rsidRPr="002764B2">
        <w:rPr>
          <w:rFonts w:ascii="Arial" w:hAnsi="Arial" w:cs="Arial"/>
        </w:rPr>
        <w:t xml:space="preserve">11.11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4A6E9DCE" w14:textId="587BF833" w:rsidR="00DE6D4B" w:rsidRPr="002764B2" w:rsidRDefault="00DE6D4B" w:rsidP="007337B0">
      <w:pPr>
        <w:spacing w:after="0"/>
        <w:jc w:val="both"/>
        <w:rPr>
          <w:rFonts w:ascii="Arial" w:hAnsi="Arial" w:cs="Arial"/>
        </w:rPr>
      </w:pPr>
      <w:r w:rsidRPr="002764B2">
        <w:rPr>
          <w:rFonts w:ascii="Arial" w:hAnsi="Arial" w:cs="Arial"/>
        </w:rPr>
        <w:t xml:space="preserve">11.12 As penalidades serão obrigatoriamente registradas no SICAF. </w:t>
      </w:r>
    </w:p>
    <w:p w14:paraId="37346356" w14:textId="77777777" w:rsidR="00DE6D4B" w:rsidRPr="002D5C57" w:rsidRDefault="00DE6D4B" w:rsidP="007337B0">
      <w:pPr>
        <w:spacing w:after="0"/>
        <w:jc w:val="both"/>
        <w:rPr>
          <w:rFonts w:ascii="Arial" w:hAnsi="Arial" w:cs="Arial"/>
        </w:rPr>
      </w:pPr>
    </w:p>
    <w:p w14:paraId="271DC1E6" w14:textId="77777777" w:rsidR="00DE6D4B" w:rsidRPr="002D5C57" w:rsidRDefault="00DE6D4B" w:rsidP="007337B0">
      <w:pPr>
        <w:spacing w:after="0"/>
        <w:jc w:val="both"/>
        <w:rPr>
          <w:rFonts w:ascii="Arial" w:hAnsi="Arial" w:cs="Arial"/>
        </w:rPr>
      </w:pPr>
    </w:p>
    <w:p w14:paraId="2B1E0D8B" w14:textId="3B0167FE" w:rsidR="00DE6D4B" w:rsidRPr="002D5C57" w:rsidRDefault="00DE6D4B" w:rsidP="007337B0">
      <w:pPr>
        <w:spacing w:after="0"/>
        <w:jc w:val="both"/>
        <w:rPr>
          <w:rFonts w:ascii="Arial" w:hAnsi="Arial" w:cs="Arial"/>
        </w:rPr>
      </w:pPr>
      <w:r w:rsidRPr="002D5C57">
        <w:rPr>
          <w:rFonts w:ascii="Arial" w:hAnsi="Arial" w:cs="Arial"/>
        </w:rPr>
        <w:t xml:space="preserve">Bom Jesus/SC, </w:t>
      </w:r>
      <w:r w:rsidR="00E25CAD" w:rsidRPr="002D5C57">
        <w:rPr>
          <w:rFonts w:ascii="Arial" w:hAnsi="Arial" w:cs="Arial"/>
        </w:rPr>
        <w:t>08</w:t>
      </w:r>
      <w:r w:rsidRPr="002D5C57">
        <w:rPr>
          <w:rFonts w:ascii="Arial" w:hAnsi="Arial" w:cs="Arial"/>
        </w:rPr>
        <w:t xml:space="preserve"> de </w:t>
      </w:r>
      <w:r w:rsidR="00E25CAD" w:rsidRPr="002D5C57">
        <w:rPr>
          <w:rFonts w:ascii="Arial" w:hAnsi="Arial" w:cs="Arial"/>
        </w:rPr>
        <w:t>maio</w:t>
      </w:r>
      <w:r w:rsidRPr="002D5C57">
        <w:rPr>
          <w:rFonts w:ascii="Arial" w:hAnsi="Arial" w:cs="Arial"/>
        </w:rPr>
        <w:t xml:space="preserve"> de 2024. </w:t>
      </w:r>
    </w:p>
    <w:p w14:paraId="2ECC146C" w14:textId="77777777" w:rsidR="00DE6D4B" w:rsidRPr="002764B2" w:rsidRDefault="00DE6D4B" w:rsidP="007337B0">
      <w:pPr>
        <w:spacing w:after="0"/>
        <w:jc w:val="both"/>
        <w:rPr>
          <w:rFonts w:ascii="Arial" w:hAnsi="Arial" w:cs="Arial"/>
        </w:rPr>
      </w:pPr>
    </w:p>
    <w:p w14:paraId="1B9C51F5" w14:textId="77777777" w:rsidR="005D32F2" w:rsidRPr="002764B2" w:rsidRDefault="005D32F2" w:rsidP="007337B0">
      <w:pPr>
        <w:spacing w:after="0"/>
        <w:jc w:val="both"/>
        <w:rPr>
          <w:rFonts w:ascii="Arial" w:hAnsi="Arial" w:cs="Arial"/>
        </w:rPr>
      </w:pPr>
    </w:p>
    <w:p w14:paraId="586B236E" w14:textId="77777777" w:rsidR="005D32F2" w:rsidRPr="002764B2" w:rsidRDefault="005D32F2" w:rsidP="007337B0">
      <w:pPr>
        <w:spacing w:after="0"/>
        <w:jc w:val="both"/>
        <w:rPr>
          <w:rFonts w:ascii="Arial" w:hAnsi="Arial" w:cs="Arial"/>
        </w:rPr>
      </w:pPr>
    </w:p>
    <w:p w14:paraId="72107E83" w14:textId="77777777" w:rsidR="005D32F2" w:rsidRPr="002764B2" w:rsidRDefault="005D32F2" w:rsidP="007337B0">
      <w:pPr>
        <w:spacing w:after="0"/>
        <w:jc w:val="both"/>
        <w:rPr>
          <w:rFonts w:ascii="Arial" w:hAnsi="Arial" w:cs="Arial"/>
        </w:rPr>
      </w:pPr>
    </w:p>
    <w:p w14:paraId="16A73DF6" w14:textId="77777777" w:rsidR="00DE6D4B" w:rsidRPr="002764B2" w:rsidRDefault="00DE6D4B" w:rsidP="007337B0">
      <w:pPr>
        <w:spacing w:after="0"/>
        <w:jc w:val="both"/>
        <w:rPr>
          <w:rFonts w:ascii="Arial" w:hAnsi="Arial" w:cs="Arial"/>
        </w:rPr>
      </w:pPr>
    </w:p>
    <w:p w14:paraId="063169ED" w14:textId="762AA581" w:rsidR="00393482" w:rsidRPr="002764B2" w:rsidRDefault="00393482" w:rsidP="00393482">
      <w:pPr>
        <w:spacing w:after="0"/>
        <w:jc w:val="center"/>
        <w:rPr>
          <w:rFonts w:ascii="Arial" w:hAnsi="Arial" w:cs="Arial"/>
        </w:rPr>
      </w:pPr>
      <w:r w:rsidRPr="002764B2">
        <w:rPr>
          <w:rFonts w:ascii="Arial" w:hAnsi="Arial" w:cs="Arial"/>
        </w:rPr>
        <w:t xml:space="preserve">Odete Correa de Oliveira </w:t>
      </w:r>
      <w:proofErr w:type="spellStart"/>
      <w:r w:rsidRPr="002764B2">
        <w:rPr>
          <w:rFonts w:ascii="Arial" w:hAnsi="Arial" w:cs="Arial"/>
        </w:rPr>
        <w:t>Paliano</w:t>
      </w:r>
      <w:proofErr w:type="spellEnd"/>
      <w:r w:rsidRPr="002764B2">
        <w:rPr>
          <w:rFonts w:ascii="Arial" w:hAnsi="Arial" w:cs="Arial"/>
        </w:rPr>
        <w:t xml:space="preserve"> </w:t>
      </w:r>
    </w:p>
    <w:p w14:paraId="38342A60" w14:textId="2CBEACF9" w:rsidR="007337B0" w:rsidRPr="002764B2" w:rsidRDefault="00783539" w:rsidP="00393482">
      <w:pPr>
        <w:spacing w:after="0"/>
        <w:jc w:val="center"/>
        <w:rPr>
          <w:rFonts w:ascii="Arial" w:hAnsi="Arial" w:cs="Arial"/>
          <w:b/>
        </w:rPr>
      </w:pPr>
      <w:r w:rsidRPr="002764B2">
        <w:rPr>
          <w:rFonts w:ascii="Arial" w:hAnsi="Arial" w:cs="Arial"/>
        </w:rPr>
        <w:t>Fundo</w:t>
      </w:r>
      <w:r w:rsidR="00393482" w:rsidRPr="002764B2">
        <w:rPr>
          <w:rFonts w:ascii="Arial" w:hAnsi="Arial" w:cs="Arial"/>
        </w:rPr>
        <w:t xml:space="preserve"> Municipal de Saúde</w:t>
      </w:r>
    </w:p>
    <w:sectPr w:rsidR="007337B0" w:rsidRPr="002764B2" w:rsidSect="00290726">
      <w:headerReference w:type="default" r:id="rId7"/>
      <w:pgSz w:w="11906" w:h="16838"/>
      <w:pgMar w:top="1417" w:right="1983"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38311" w14:textId="77777777" w:rsidR="00290726" w:rsidRDefault="00290726" w:rsidP="00860132">
      <w:pPr>
        <w:spacing w:after="0" w:line="240" w:lineRule="auto"/>
      </w:pPr>
      <w:r>
        <w:separator/>
      </w:r>
    </w:p>
  </w:endnote>
  <w:endnote w:type="continuationSeparator" w:id="0">
    <w:p w14:paraId="28346CE7" w14:textId="77777777" w:rsidR="00290726" w:rsidRDefault="00290726" w:rsidP="00860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3D910" w14:textId="77777777" w:rsidR="00290726" w:rsidRDefault="00290726" w:rsidP="00860132">
      <w:pPr>
        <w:spacing w:after="0" w:line="240" w:lineRule="auto"/>
      </w:pPr>
      <w:r>
        <w:separator/>
      </w:r>
    </w:p>
  </w:footnote>
  <w:footnote w:type="continuationSeparator" w:id="0">
    <w:p w14:paraId="2B9099FE" w14:textId="77777777" w:rsidR="00290726" w:rsidRDefault="00290726" w:rsidP="008601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F6B83" w14:textId="77777777" w:rsidR="00860132" w:rsidRDefault="00860132" w:rsidP="00860132">
    <w:pPr>
      <w:pStyle w:val="Corpodetexto"/>
      <w:spacing w:line="14" w:lineRule="auto"/>
      <w:rPr>
        <w:sz w:val="20"/>
      </w:rPr>
    </w:pPr>
    <w:r>
      <w:rPr>
        <w:noProof/>
      </w:rPr>
      <w:drawing>
        <wp:anchor distT="0" distB="0" distL="0" distR="0" simplePos="0" relativeHeight="251659264" behindDoc="1" locked="0" layoutInCell="1" allowOverlap="1" wp14:anchorId="4B4485FB" wp14:editId="1ED4CC1C">
          <wp:simplePos x="0" y="0"/>
          <wp:positionH relativeFrom="page">
            <wp:posOffset>1284366</wp:posOffset>
          </wp:positionH>
          <wp:positionV relativeFrom="page">
            <wp:posOffset>676510</wp:posOffset>
          </wp:positionV>
          <wp:extent cx="774029" cy="667593"/>
          <wp:effectExtent l="0" t="0" r="0" b="0"/>
          <wp:wrapNone/>
          <wp:docPr id="155826600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74029" cy="667593"/>
                  </a:xfrm>
                  <a:prstGeom prst="rect">
                    <a:avLst/>
                  </a:prstGeom>
                </pic:spPr>
              </pic:pic>
            </a:graphicData>
          </a:graphic>
        </wp:anchor>
      </w:drawing>
    </w:r>
    <w:r>
      <w:rPr>
        <w:noProof/>
      </w:rPr>
      <mc:AlternateContent>
        <mc:Choice Requires="wps">
          <w:drawing>
            <wp:anchor distT="0" distB="0" distL="114300" distR="114300" simplePos="0" relativeHeight="251660288" behindDoc="1" locked="0" layoutInCell="1" allowOverlap="1" wp14:anchorId="64A708C4" wp14:editId="770822B0">
              <wp:simplePos x="0" y="0"/>
              <wp:positionH relativeFrom="page">
                <wp:posOffset>2566035</wp:posOffset>
              </wp:positionH>
              <wp:positionV relativeFrom="page">
                <wp:posOffset>782955</wp:posOffset>
              </wp:positionV>
              <wp:extent cx="2446020" cy="458470"/>
              <wp:effectExtent l="0" t="0" r="0" b="0"/>
              <wp:wrapNone/>
              <wp:docPr id="514193458"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79DAA" w14:textId="77777777" w:rsidR="00860132" w:rsidRDefault="00860132" w:rsidP="00860132">
                          <w:pPr>
                            <w:spacing w:before="10"/>
                            <w:ind w:left="20" w:right="18" w:hanging="4"/>
                            <w:jc w:val="center"/>
                            <w:rPr>
                              <w:rFonts w:ascii="Times New Roman" w:hAnsi="Times New Roman"/>
                              <w:sz w:val="20"/>
                            </w:rPr>
                          </w:pPr>
                          <w:r>
                            <w:rPr>
                              <w:rFonts w:ascii="Times New Roman" w:hAnsi="Times New Roman"/>
                              <w:sz w:val="20"/>
                            </w:rPr>
                            <w:t>ESTADO DE SANTA CATARINA</w:t>
                          </w:r>
                          <w:r>
                            <w:rPr>
                              <w:rFonts w:ascii="Times New Roman" w:hAnsi="Times New Roman"/>
                              <w:spacing w:val="1"/>
                              <w:sz w:val="20"/>
                            </w:rPr>
                            <w:t xml:space="preserve"> </w:t>
                          </w:r>
                          <w:r>
                            <w:rPr>
                              <w:rFonts w:ascii="Times New Roman" w:hAnsi="Times New Roman"/>
                              <w:sz w:val="20"/>
                            </w:rPr>
                            <w:t>PREFEITURA MUNICIPAL DE BOM JESUS</w:t>
                          </w:r>
                          <w:r>
                            <w:rPr>
                              <w:rFonts w:ascii="Times New Roman" w:hAnsi="Times New Roman"/>
                              <w:spacing w:val="-48"/>
                              <w:sz w:val="20"/>
                            </w:rPr>
                            <w:t xml:space="preserve"> </w:t>
                          </w:r>
                          <w:r>
                            <w:rPr>
                              <w:rFonts w:ascii="Times New Roman" w:hAnsi="Times New Roman"/>
                              <w:sz w:val="20"/>
                            </w:rPr>
                            <w:t>SECRETARIA</w:t>
                          </w:r>
                          <w:r>
                            <w:rPr>
                              <w:rFonts w:ascii="Times New Roman" w:hAnsi="Times New Roman"/>
                              <w:spacing w:val="-4"/>
                              <w:sz w:val="20"/>
                            </w:rPr>
                            <w:t xml:space="preserve"> </w:t>
                          </w:r>
                          <w:r>
                            <w:rPr>
                              <w:rFonts w:ascii="Times New Roman" w:hAnsi="Times New Roman"/>
                              <w:sz w:val="20"/>
                            </w:rPr>
                            <w:t>MUNICIPAL DE</w:t>
                          </w:r>
                          <w:r>
                            <w:rPr>
                              <w:rFonts w:ascii="Times New Roman" w:hAnsi="Times New Roman"/>
                              <w:spacing w:val="-2"/>
                              <w:sz w:val="20"/>
                            </w:rPr>
                            <w:t xml:space="preserve"> </w:t>
                          </w:r>
                          <w:r>
                            <w:rPr>
                              <w:rFonts w:ascii="Times New Roman" w:hAnsi="Times New Roman"/>
                              <w:sz w:val="20"/>
                            </w:rPr>
                            <w:t>SAÚDE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708C4" id="_x0000_t202" coordsize="21600,21600" o:spt="202" path="m,l,21600r21600,l21600,xe">
              <v:stroke joinstyle="miter"/>
              <v:path gradientshapeok="t" o:connecttype="rect"/>
            </v:shapetype>
            <v:shape id="Caixa de Texto 1" o:spid="_x0000_s1026" type="#_x0000_t202" style="position:absolute;margin-left:202.05pt;margin-top:61.65pt;width:192.6pt;height:36.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" filled="f" stroked="f">
              <v:textbox inset="0,0,0,0">
                <w:txbxContent>
                  <w:p w14:paraId="2B279DAA" w14:textId="77777777" w:rsidR="00860132" w:rsidRDefault="00860132" w:rsidP="00860132">
                    <w:pPr>
                      <w:spacing w:before="10"/>
                      <w:ind w:left="20" w:right="18" w:hanging="4"/>
                      <w:jc w:val="center"/>
                      <w:rPr>
                        <w:rFonts w:ascii="Times New Roman" w:hAnsi="Times New Roman"/>
                        <w:sz w:val="20"/>
                      </w:rPr>
                    </w:pPr>
                    <w:r>
                      <w:rPr>
                        <w:rFonts w:ascii="Times New Roman" w:hAnsi="Times New Roman"/>
                        <w:sz w:val="20"/>
                      </w:rPr>
                      <w:t>ESTADO DE SANTA CATARINA</w:t>
                    </w:r>
                    <w:r>
                      <w:rPr>
                        <w:rFonts w:ascii="Times New Roman" w:hAnsi="Times New Roman"/>
                        <w:spacing w:val="1"/>
                        <w:sz w:val="20"/>
                      </w:rPr>
                      <w:t xml:space="preserve"> </w:t>
                    </w:r>
                    <w:r>
                      <w:rPr>
                        <w:rFonts w:ascii="Times New Roman" w:hAnsi="Times New Roman"/>
                        <w:sz w:val="20"/>
                      </w:rPr>
                      <w:t>PREFEITURA MUNICIPAL DE BOM JESUS</w:t>
                    </w:r>
                    <w:r>
                      <w:rPr>
                        <w:rFonts w:ascii="Times New Roman" w:hAnsi="Times New Roman"/>
                        <w:spacing w:val="-48"/>
                        <w:sz w:val="20"/>
                      </w:rPr>
                      <w:t xml:space="preserve"> </w:t>
                    </w:r>
                    <w:r>
                      <w:rPr>
                        <w:rFonts w:ascii="Times New Roman" w:hAnsi="Times New Roman"/>
                        <w:sz w:val="20"/>
                      </w:rPr>
                      <w:t>SECRETARIA</w:t>
                    </w:r>
                    <w:r>
                      <w:rPr>
                        <w:rFonts w:ascii="Times New Roman" w:hAnsi="Times New Roman"/>
                        <w:spacing w:val="-4"/>
                        <w:sz w:val="20"/>
                      </w:rPr>
                      <w:t xml:space="preserve"> </w:t>
                    </w:r>
                    <w:r>
                      <w:rPr>
                        <w:rFonts w:ascii="Times New Roman" w:hAnsi="Times New Roman"/>
                        <w:sz w:val="20"/>
                      </w:rPr>
                      <w:t>MUNICIPAL DE</w:t>
                    </w:r>
                    <w:r>
                      <w:rPr>
                        <w:rFonts w:ascii="Times New Roman" w:hAnsi="Times New Roman"/>
                        <w:spacing w:val="-2"/>
                        <w:sz w:val="20"/>
                      </w:rPr>
                      <w:t xml:space="preserve"> </w:t>
                    </w:r>
                    <w:r>
                      <w:rPr>
                        <w:rFonts w:ascii="Times New Roman" w:hAnsi="Times New Roman"/>
                        <w:sz w:val="20"/>
                      </w:rPr>
                      <w:t>SAÚDE</w:t>
                    </w:r>
                  </w:p>
                </w:txbxContent>
              </v:textbox>
              <w10:wrap anchorx="page" anchory="page"/>
            </v:shape>
          </w:pict>
        </mc:Fallback>
      </mc:AlternateContent>
    </w:r>
  </w:p>
  <w:p w14:paraId="23AC6239" w14:textId="77777777" w:rsidR="00860132" w:rsidRDefault="00860132" w:rsidP="00860132">
    <w:pPr>
      <w:pStyle w:val="Cabealho"/>
    </w:pPr>
  </w:p>
  <w:p w14:paraId="2740F242" w14:textId="77777777" w:rsidR="00860132" w:rsidRDefault="00860132" w:rsidP="00860132">
    <w:pPr>
      <w:pStyle w:val="Cabealho"/>
    </w:pPr>
  </w:p>
  <w:p w14:paraId="019AA7BF" w14:textId="77777777" w:rsidR="00860132" w:rsidRDefault="00860132" w:rsidP="00860132">
    <w:pPr>
      <w:pStyle w:val="Cabealho"/>
    </w:pPr>
  </w:p>
  <w:p w14:paraId="2521EEBB" w14:textId="77777777" w:rsidR="00860132" w:rsidRDefault="00860132" w:rsidP="00860132">
    <w:pPr>
      <w:pStyle w:val="Cabealho"/>
    </w:pPr>
  </w:p>
  <w:p w14:paraId="21D03316" w14:textId="77777777" w:rsidR="00860132" w:rsidRDefault="00860132" w:rsidP="00860132">
    <w:pPr>
      <w:pStyle w:val="Cabealho"/>
    </w:pPr>
  </w:p>
  <w:p w14:paraId="64B76D1A" w14:textId="77777777" w:rsidR="00860132" w:rsidRDefault="0086013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7A2"/>
    <w:rsid w:val="001829FE"/>
    <w:rsid w:val="001B3E4D"/>
    <w:rsid w:val="002764B2"/>
    <w:rsid w:val="00290726"/>
    <w:rsid w:val="002D5C57"/>
    <w:rsid w:val="00344075"/>
    <w:rsid w:val="00393482"/>
    <w:rsid w:val="004B37A2"/>
    <w:rsid w:val="00523A98"/>
    <w:rsid w:val="005A5008"/>
    <w:rsid w:val="005D32F2"/>
    <w:rsid w:val="007337B0"/>
    <w:rsid w:val="0074098E"/>
    <w:rsid w:val="00783539"/>
    <w:rsid w:val="007E64DD"/>
    <w:rsid w:val="0080686E"/>
    <w:rsid w:val="00860132"/>
    <w:rsid w:val="008864D0"/>
    <w:rsid w:val="008E107F"/>
    <w:rsid w:val="0092382E"/>
    <w:rsid w:val="0095185B"/>
    <w:rsid w:val="00B519E6"/>
    <w:rsid w:val="00C25102"/>
    <w:rsid w:val="00C449B3"/>
    <w:rsid w:val="00CD7532"/>
    <w:rsid w:val="00DE6D4B"/>
    <w:rsid w:val="00DF48B3"/>
    <w:rsid w:val="00E25CAD"/>
    <w:rsid w:val="00F033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8A606"/>
  <w15:chartTrackingRefBased/>
  <w15:docId w15:val="{1D2BA801-B40E-451C-8375-19633CD37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7A2"/>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4B37A2"/>
    <w:pPr>
      <w:autoSpaceDE w:val="0"/>
      <w:autoSpaceDN w:val="0"/>
      <w:adjustRightInd w:val="0"/>
      <w:spacing w:after="0" w:line="240" w:lineRule="auto"/>
    </w:pPr>
    <w:rPr>
      <w:rFonts w:ascii="Arial" w:eastAsia="Calibri" w:hAnsi="Arial" w:cs="Arial"/>
      <w:color w:val="000000"/>
      <w:sz w:val="24"/>
      <w:szCs w:val="24"/>
      <w:lang w:eastAsia="pt-BR"/>
    </w:rPr>
  </w:style>
  <w:style w:type="table" w:styleId="Tabelacomgrade">
    <w:name w:val="Table Grid"/>
    <w:basedOn w:val="Tabelanormal"/>
    <w:uiPriority w:val="39"/>
    <w:rsid w:val="00DF4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864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64D0"/>
    <w:pPr>
      <w:widowControl w:val="0"/>
      <w:autoSpaceDE w:val="0"/>
      <w:autoSpaceDN w:val="0"/>
      <w:spacing w:after="0" w:line="264" w:lineRule="exact"/>
      <w:ind w:left="112"/>
    </w:pPr>
    <w:rPr>
      <w:rFonts w:ascii="Tahoma" w:eastAsia="Tahoma" w:hAnsi="Tahoma" w:cs="Tahoma"/>
      <w:lang w:val="pt-PT"/>
    </w:rPr>
  </w:style>
  <w:style w:type="paragraph" w:styleId="Cabealho">
    <w:name w:val="header"/>
    <w:basedOn w:val="Normal"/>
    <w:link w:val="CabealhoChar"/>
    <w:uiPriority w:val="99"/>
    <w:unhideWhenUsed/>
    <w:rsid w:val="0086013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60132"/>
    <w:rPr>
      <w:rFonts w:ascii="Calibri" w:eastAsia="Calibri" w:hAnsi="Calibri" w:cs="Times New Roman"/>
    </w:rPr>
  </w:style>
  <w:style w:type="paragraph" w:styleId="Rodap">
    <w:name w:val="footer"/>
    <w:basedOn w:val="Normal"/>
    <w:link w:val="RodapChar"/>
    <w:uiPriority w:val="99"/>
    <w:unhideWhenUsed/>
    <w:rsid w:val="00860132"/>
    <w:pPr>
      <w:tabs>
        <w:tab w:val="center" w:pos="4252"/>
        <w:tab w:val="right" w:pos="8504"/>
      </w:tabs>
      <w:spacing w:after="0" w:line="240" w:lineRule="auto"/>
    </w:pPr>
  </w:style>
  <w:style w:type="character" w:customStyle="1" w:styleId="RodapChar">
    <w:name w:val="Rodapé Char"/>
    <w:basedOn w:val="Fontepargpadro"/>
    <w:link w:val="Rodap"/>
    <w:uiPriority w:val="99"/>
    <w:rsid w:val="00860132"/>
    <w:rPr>
      <w:rFonts w:ascii="Calibri" w:eastAsia="Calibri" w:hAnsi="Calibri" w:cs="Times New Roman"/>
    </w:rPr>
  </w:style>
  <w:style w:type="paragraph" w:styleId="Corpodetexto">
    <w:name w:val="Body Text"/>
    <w:basedOn w:val="Normal"/>
    <w:link w:val="CorpodetextoChar"/>
    <w:uiPriority w:val="1"/>
    <w:qFormat/>
    <w:rsid w:val="00860132"/>
    <w:pPr>
      <w:widowControl w:val="0"/>
      <w:autoSpaceDE w:val="0"/>
      <w:autoSpaceDN w:val="0"/>
      <w:spacing w:after="0" w:line="240" w:lineRule="auto"/>
    </w:pPr>
    <w:rPr>
      <w:rFonts w:ascii="Tahoma" w:eastAsia="Tahoma" w:hAnsi="Tahoma" w:cs="Tahoma"/>
      <w:lang w:val="pt-PT"/>
    </w:rPr>
  </w:style>
  <w:style w:type="character" w:customStyle="1" w:styleId="CorpodetextoChar">
    <w:name w:val="Corpo de texto Char"/>
    <w:basedOn w:val="Fontepargpadro"/>
    <w:link w:val="Corpodetexto"/>
    <w:uiPriority w:val="1"/>
    <w:rsid w:val="00860132"/>
    <w:rPr>
      <w:rFonts w:ascii="Tahoma" w:eastAsia="Tahoma" w:hAnsi="Tahoma" w:cs="Tahoma"/>
      <w:lang w:val="pt-PT"/>
    </w:rPr>
  </w:style>
  <w:style w:type="paragraph" w:styleId="SemEspaamento">
    <w:name w:val="No Spacing"/>
    <w:uiPriority w:val="1"/>
    <w:qFormat/>
    <w:rsid w:val="00E25CA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91F2E-0950-4385-9396-7F5BD04BD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3027</Words>
  <Characters>16346</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12</cp:revision>
  <cp:lastPrinted>2024-04-25T14:15:00Z</cp:lastPrinted>
  <dcterms:created xsi:type="dcterms:W3CDTF">2024-05-06T14:58:00Z</dcterms:created>
  <dcterms:modified xsi:type="dcterms:W3CDTF">2024-05-08T12:43:00Z</dcterms:modified>
</cp:coreProperties>
</file>